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2.xml" ContentType="application/xml"/>
  <Override PartName="/customXml/itemProps1.xml" ContentType="application/vnd.openxmlformats-officedocument.customXmlProperties+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word/_rels/document.xml.rels" ContentType="application/vnd.openxmlformats-package.relationship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Приложение №</w:t>
      </w:r>
      <w:r>
        <w:rPr>
          <w:sz w:val="24"/>
          <w:szCs w:val="24"/>
        </w:rPr>
        <w:t>14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к договору подряда </w:t>
      </w:r>
    </w:p>
    <w:p>
      <w:pPr>
        <w:pStyle w:val="Normal"/>
        <w:widowControl w:val="false"/>
        <w:spacing w:lineRule="auto" w:line="240" w:before="0" w:after="0"/>
        <w:jc w:val="right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№</w:t>
      </w:r>
      <w:r>
        <w:rPr>
          <w:sz w:val="24"/>
          <w:szCs w:val="24"/>
        </w:rPr>
        <w:t>__ от __.__.20__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ind w:left="0" w:right="0"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  <w:t>Порядок представления и согласования исполнительной документации на выполненные работы при реализации инвестиционных проектов в ходе строительства, технического перевооружения  и реконструкции объектов Группы РусГидро</w:t>
      </w:r>
    </w:p>
    <w:p>
      <w:pPr>
        <w:pStyle w:val="Normal"/>
        <w:widowControl w:val="false"/>
        <w:spacing w:lineRule="auto" w:line="240"/>
        <w:ind w:left="0" w:right="0" w:firstLine="708"/>
        <w:jc w:val="both"/>
        <w:rPr>
          <w:rFonts w:ascii="Times New Roman" w:hAnsi="Times New Roman"/>
          <w:b/>
          <w:sz w:val="24"/>
          <w:szCs w:val="24"/>
        </w:rPr>
      </w:pPr>
      <w:r>
        <w:rPr>
          <w:b/>
          <w:sz w:val="24"/>
          <w:szCs w:val="24"/>
        </w:rPr>
      </w:r>
    </w:p>
    <w:p>
      <w:pPr>
        <w:pStyle w:val="Normal"/>
        <w:widowControl w:val="false"/>
        <w:spacing w:lineRule="auto" w:line="240"/>
        <w:ind w:left="0" w:right="0" w:firstLine="708"/>
        <w:jc w:val="both"/>
        <w:rPr>
          <w:b/>
          <w:sz w:val="24"/>
          <w:lang w:val="en-US"/>
        </w:rPr>
      </w:pPr>
      <w:r>
        <w:rPr>
          <w:sz w:val="24"/>
          <w:szCs w:val="24"/>
        </w:rPr>
        <w:t>Документ определяет порядок взаимодействия заказчика (филиалы или подконтрольные организации</w:t>
      </w:r>
      <w:r>
        <w:rPr>
          <w:rStyle w:val="FootnoteReference"/>
          <w:sz w:val="24"/>
          <w:szCs w:val="24"/>
        </w:rPr>
        <w:footnoteReference w:id="2"/>
      </w:r>
      <w:r>
        <w:rPr>
          <w:sz w:val="24"/>
          <w:szCs w:val="24"/>
        </w:rPr>
        <w:t xml:space="preserve"> Группы РусГидро), технического заказчика (агент или иная организация, действующая на основании агентского договора, заключенного с заказчиком), подрядчика (генеральный подрядчик или иная подрядная организация, действующая в качестве лица, осуществляющего строительство на основании договора подряда, заключенного с заказчиком или с техническим заказчиком)</w:t>
      </w:r>
      <w:r>
        <w:rPr>
          <w:rStyle w:val="FootnoteReference"/>
          <w:sz w:val="24"/>
          <w:szCs w:val="24"/>
        </w:rPr>
        <w:footnoteReference w:id="3"/>
      </w:r>
      <w:r>
        <w:rPr>
          <w:sz w:val="24"/>
          <w:szCs w:val="24"/>
        </w:rPr>
        <w:t xml:space="preserve"> при согласовании и приемке исполнительной документации</w:t>
      </w:r>
      <w:r>
        <w:rPr>
          <w:rStyle w:val="FootnoteReference"/>
          <w:sz w:val="24"/>
          <w:szCs w:val="24"/>
        </w:rPr>
        <w:footnoteReference w:id="4"/>
      </w:r>
      <w:r>
        <w:rPr>
          <w:sz w:val="24"/>
          <w:szCs w:val="24"/>
        </w:rPr>
        <w:t xml:space="preserve"> в ходе реализации инвестиционных проектов строительства, технического перевооружения и реконструкции объектов Группы РусГидро.</w:t>
      </w:r>
    </w:p>
    <w:p>
      <w:pPr>
        <w:pStyle w:val="Normal"/>
        <w:widowControl w:val="false"/>
        <w:spacing w:lineRule="auto" w:line="240"/>
        <w:ind w:left="0" w:right="0" w:firstLine="708"/>
        <w:jc w:val="both"/>
        <w:rPr>
          <w:b/>
          <w:sz w:val="24"/>
          <w:lang w:val="en-US"/>
        </w:rPr>
      </w:pPr>
      <w:r>
        <w:rPr>
          <w:sz w:val="24"/>
          <w:szCs w:val="24"/>
        </w:rPr>
        <w:t>Приемка у Подрядчика выполненных работ с оформлением и подписанием унифицированной формы КС-2 или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нормативного-технической документации и законодательства в отношении предъявляемых к сдаче-приемке работ. В ходе сдачи-приемки Подрядчиком работ сформированные им комплекты исполнительной документации размещаются</w:t>
      </w:r>
      <w:r>
        <w:rPr>
          <w:rStyle w:val="FootnoteReference"/>
          <w:sz w:val="24"/>
          <w:szCs w:val="24"/>
        </w:rPr>
        <w:footnoteReference w:id="5"/>
      </w:r>
      <w:r>
        <w:rPr>
          <w:rStyle w:val="Style6"/>
          <w:sz w:val="24"/>
          <w:szCs w:val="24"/>
        </w:rPr>
        <w:t xml:space="preserve"> </w:t>
      </w:r>
      <w:r>
        <w:rPr>
          <w:sz w:val="24"/>
          <w:szCs w:val="24"/>
        </w:rPr>
        <w:t>в соответствующем разделе на сетевом ресурсе Группы РусГидро.</w:t>
      </w:r>
    </w:p>
    <w:p>
      <w:pPr>
        <w:pStyle w:val="Normal"/>
        <w:widowControl w:val="false"/>
        <w:spacing w:lineRule="auto" w:line="240"/>
        <w:ind w:left="0" w:right="0"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Доступ Техническому заказчику, Подрядчику, а также представителю проектировщика, осуществляющего авторский надзор, к сетевому ресурсу предоставляется Заказчиком или ПАО «РусГидро».</w:t>
      </w:r>
    </w:p>
    <w:p>
      <w:pPr>
        <w:pStyle w:val="Normal"/>
        <w:widowControl w:val="false"/>
        <w:spacing w:lineRule="auto" w:line="240"/>
        <w:ind w:left="0" w:right="0"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Подрядчик размещает на сетевом ресурсе в соответствующем разделе комплекты ИД и реестр ИД (далее – Реестр), в котором помимо принадлежности комплекта ИД и наименования документов отображается информация о дате размещения, наличии замечаний, сроках устранения замечаний, отметках о согласовании по каждому комплекту ИД. Формы Реестров для соответствующих разделов представлены в приложении к настоящему Порядку. </w:t>
      </w:r>
    </w:p>
    <w:p>
      <w:pPr>
        <w:pStyle w:val="Normal"/>
        <w:widowControl w:val="false"/>
        <w:spacing w:lineRule="auto" w:line="240"/>
        <w:ind w:left="0" w:right="0"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 случае привлечения Подрядчиком к оформлению и размещению на сетевом ресурсе документов комплекта ИД субподрядных организаций ответственность за своевременность размещения, полноту и надлежащее оформление каждого комплекта ИД возлагается на Подрядчика. Действия по выдаче и устранению замечаний к ИД, согласованию комплектов ИД Техническим заказчиком должны находить свое отражение в Реестре и быть доступны для просмотра и контроля Заказчику.</w:t>
      </w:r>
    </w:p>
    <w:p>
      <w:pPr>
        <w:pStyle w:val="Normal"/>
        <w:widowControl w:val="false"/>
        <w:spacing w:lineRule="auto" w:line="240"/>
        <w:ind w:left="0" w:right="0" w:firstLine="708"/>
        <w:jc w:val="both"/>
        <w:rPr>
          <w:b/>
          <w:sz w:val="24"/>
          <w:lang w:val="en-US"/>
        </w:rPr>
      </w:pPr>
      <w:r>
        <w:rPr>
          <w:sz w:val="24"/>
          <w:szCs w:val="24"/>
        </w:rPr>
        <w:t>По факту оформления и размещения на сетевом ресурсе комплекта ИД Подрядчик уведомляет Технического заказчика</w:t>
      </w:r>
      <w:r>
        <w:rPr>
          <w:rStyle w:val="FootnoteReference"/>
          <w:sz w:val="24"/>
          <w:szCs w:val="24"/>
        </w:rPr>
        <w:footnoteReference w:id="6"/>
      </w:r>
      <w:r>
        <w:rPr>
          <w:sz w:val="24"/>
          <w:szCs w:val="24"/>
        </w:rPr>
        <w:t xml:space="preserve"> о готовности комплекта ИД и необходимости его проверки.</w:t>
      </w:r>
    </w:p>
    <w:p>
      <w:pPr>
        <w:pStyle w:val="Normal"/>
        <w:widowControl w:val="false"/>
        <w:spacing w:lineRule="auto" w:line="240"/>
        <w:ind w:left="0" w:right="0"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Технический заказчик (см. сноску 5) в течение 5 (пяти) рабочих дней осуществляет проверку комплекта ИД, в случае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замечаний.</w:t>
      </w:r>
    </w:p>
    <w:p>
      <w:pPr>
        <w:pStyle w:val="Normal"/>
        <w:widowControl w:val="false"/>
        <w:spacing w:lineRule="auto" w:line="240"/>
        <w:ind w:left="0" w:right="0"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Перечень замечаний по возможности должен быть исчерпывающим. Направление впоследствии дополнительных замечаний к проверенному комплекту ИД не допускается за исключением случаев, когда такие замечания предъявлены другим участником рассмотрения ИД или комплект ИД дополняется новыми документами, которые ранее не рассматривались, или замечания представляются к той части комплекта документов, которая подверглась изменению при устранении первоначальных замечаний.</w:t>
      </w:r>
    </w:p>
    <w:p>
      <w:pPr>
        <w:pStyle w:val="Normal"/>
        <w:widowControl w:val="false"/>
        <w:spacing w:lineRule="auto" w:line="240"/>
        <w:ind w:left="0" w:right="0"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 случае получения замечаний Технического заказчика (или иного участника рассмотрения) к комплекту ИД Подрядчик организует необходимые мероприятия по их устранению в указанные сроки.</w:t>
      </w:r>
    </w:p>
    <w:p>
      <w:pPr>
        <w:pStyle w:val="Normal"/>
        <w:widowControl w:val="false"/>
        <w:spacing w:lineRule="auto" w:line="240"/>
        <w:ind w:left="0" w:right="0"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По итогам устранения замечаний и доработки комплекта ИД Подрядчик направляет Техническому заказчику (см. сноску 5) уведомление о необходимости осуществления проверки откорректированного комплекта ИД на сетевом ресурсе.</w:t>
      </w:r>
    </w:p>
    <w:p>
      <w:pPr>
        <w:pStyle w:val="Normal"/>
        <w:widowControl w:val="false"/>
        <w:spacing w:lineRule="auto" w:line="240"/>
        <w:ind w:left="0" w:right="0"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 случае отсутствия замечаний Технический заказчик (см. сноску 5) извещает Подрядчика о согласовании комплекта ИД, делает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комплекта.</w:t>
      </w:r>
    </w:p>
    <w:p>
      <w:pPr>
        <w:pStyle w:val="Normal"/>
        <w:widowControl w:val="false"/>
        <w:spacing w:lineRule="auto" w:line="240"/>
        <w:ind w:left="0" w:right="0"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После получения письменного извещения от Заказчика о согласовании сдаточного комплекта ИД Технический заказчик (а в случае отсутствия Технического заказчика – Подрядчик) в течение 5 (пяти) рабочих дней организует мероприятия по формированию согласованного комплекта ИД из оригинальных экземпляров документов или их надлежащим образом заверенных копий, организует брошюрование получившегося комплекта и направляет его Заказчику. При этом ответственность за полноту и качество содержания сброшюрованных в комплекты документов несет Технический заказчик (а в случае отсутствия Технического заказчика – Подрядчик).</w:t>
      </w:r>
    </w:p>
    <w:p>
      <w:pPr>
        <w:pStyle w:val="Normal"/>
        <w:widowControl w:val="false"/>
        <w:spacing w:lineRule="auto" w:line="240"/>
        <w:ind w:left="0" w:right="0"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Заказчик проверяет полноту комплекта сброшюрованных документов, в случае отсутствия замечаний осуществляет его приемку для последующей передачи в архив, по результатам которой не позднее 3 (трех) рабочих дней Заказчик делает отметку в соответствующем Реестре о приемке такого комплекта ИД.</w:t>
      </w:r>
    </w:p>
    <w:p>
      <w:pPr>
        <w:pStyle w:val="Normal"/>
        <w:widowControl w:val="false"/>
        <w:spacing w:lineRule="auto" w:line="240"/>
        <w:ind w:left="0" w:right="0" w:firstLine="708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spacing w:lineRule="auto" w:line="240"/>
        <w:ind w:left="0" w:right="0" w:firstLine="709"/>
        <w:jc w:val="center"/>
        <w:rPr>
          <w:rFonts w:ascii="Times New Roman" w:hAnsi="Times New Roman"/>
          <w:i w:val="false"/>
          <w:i w:val="false"/>
          <w:iCs w:val="false"/>
          <w:sz w:val="24"/>
          <w:szCs w:val="24"/>
          <w:u w:val="single"/>
        </w:rPr>
      </w:pPr>
      <w:r>
        <w:rPr>
          <w:i w:val="false"/>
          <w:iCs w:val="false"/>
          <w:sz w:val="24"/>
          <w:szCs w:val="24"/>
          <w:u w:val="single"/>
        </w:rPr>
        <w:t>Требования к организации структуры массива ИД на сетевом ресурсе, срокам первичного размещения комплектов ИД, а также к срокам передачи заводской сопроводительной документации на оборудование и иной документации, относящейся к ИД</w:t>
      </w:r>
    </w:p>
    <w:p>
      <w:pPr>
        <w:pStyle w:val="Normal"/>
        <w:widowControl w:val="false"/>
        <w:spacing w:lineRule="auto" w:line="240"/>
        <w:ind w:left="0" w:right="0" w:firstLine="709"/>
        <w:jc w:val="both"/>
        <w:rPr>
          <w:rFonts w:ascii="Times New Roman" w:hAnsi="Times New Roman"/>
          <w:b/>
          <w:i/>
          <w:i/>
          <w:iCs/>
          <w:sz w:val="24"/>
          <w:szCs w:val="24"/>
        </w:rPr>
      </w:pPr>
      <w:r>
        <w:rPr>
          <w:b/>
          <w:i/>
          <w:iCs/>
          <w:sz w:val="24"/>
          <w:szCs w:val="24"/>
        </w:rPr>
      </w:r>
    </w:p>
    <w:p>
      <w:pPr>
        <w:pStyle w:val="Normal"/>
        <w:widowControl w:val="false"/>
        <w:spacing w:lineRule="auto" w:line="24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На сетевом ресурсе Группы РусГидро по каждому инвестиционному проекту строительства, реконструкции, технического перевооружения создаются отдельные разделы для размещения и контроля полноты и качества оформляемой ИД для следующих типов (видов) комплектов ИД:</w:t>
      </w:r>
    </w:p>
    <w:p>
      <w:pPr>
        <w:pStyle w:val="Normal"/>
        <w:widowControl w:val="false"/>
        <w:spacing w:lineRule="auto" w:line="24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Р-1 для комплектов ИД, оформляемых для освидетельствования (приемки) работ, оказывающих влияние на безопасность объекта (скрытые работы, ответственные конструкции, участки сетей инженерно-технического обеспечения);</w:t>
      </w:r>
    </w:p>
    <w:p>
      <w:pPr>
        <w:pStyle w:val="Normal"/>
        <w:widowControl w:val="false"/>
        <w:spacing w:lineRule="auto" w:line="24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Р-2 для комплектов ИД, оформляемых для приемки выполненных работ по актам КС-2 или по актам приемки объемов фактически выполненных работ за отчетный период (календарный месяц);</w:t>
      </w:r>
    </w:p>
    <w:p>
      <w:pPr>
        <w:pStyle w:val="Normal"/>
        <w:widowControl w:val="false"/>
        <w:spacing w:lineRule="auto" w:line="24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Р3 для сводных (сдаточных) комплектов ИД по каждому полностью готовому строительному конструктиву или функционально-технологическому узлу (системе) и сдаточных пакетов, группируемых из нескольких таких сдаточных комплектов ИД;</w:t>
      </w:r>
    </w:p>
    <w:p>
      <w:pPr>
        <w:pStyle w:val="Normal"/>
        <w:widowControl w:val="false"/>
        <w:spacing w:lineRule="auto" w:line="24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Р-4, для комплектов ИД, оформляемых по результатам пусконаладочных работ и испытаний оборудования или функционально-технологического узла (системы), а также сдаточных пакетов, группируемых из нескольких таких комплектов ИД.</w:t>
      </w:r>
    </w:p>
    <w:p>
      <w:pPr>
        <w:pStyle w:val="Normal"/>
        <w:widowControl w:val="false"/>
        <w:spacing w:lineRule="auto" w:line="24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spacing w:lineRule="auto" w:line="24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 каждом из разделов размещаются:</w:t>
      </w:r>
    </w:p>
    <w:p>
      <w:pPr>
        <w:pStyle w:val="Normal"/>
        <w:widowControl w:val="false"/>
        <w:spacing w:lineRule="auto" w:line="24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файл Реестра для данного раздела (например, в формате таблицы Excel, в которой по строкам будет формироваться перечень комплектов и документов ИД, оформляемых в ходе строительства, а в столбцах будет отражаться информация о состоянии полноты комплекта, замечаниях по результатам проверки, отметки об устранении замечаний, отметки о согласовании комплекта ИД генеральным подрядчиком, Техническим заказчиком (агентом), Заказчиком, отметки о передаче комплекта ИД для архива Заказчика, а также прочая необходимая информация);</w:t>
      </w:r>
    </w:p>
    <w:p>
      <w:pPr>
        <w:pStyle w:val="Normal"/>
        <w:widowControl w:val="false"/>
        <w:spacing w:lineRule="auto" w:line="24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отдельные папки для каждого комплекта ИД, в которых размещаются файлы отсканированных документов данного комплекта.</w:t>
      </w:r>
    </w:p>
    <w:p>
      <w:pPr>
        <w:pStyle w:val="Normal"/>
        <w:widowControl w:val="false"/>
        <w:spacing w:lineRule="auto" w:line="24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Основным идентификатором (признаком) наименования комплекта ИД в Реестре и элементом названия для соответствующей папки с файлами документов ИД следует принять номер чертежа рабочей документации.</w:t>
      </w:r>
    </w:p>
    <w:p>
      <w:pPr>
        <w:pStyle w:val="Normal"/>
        <w:widowControl w:val="false"/>
        <w:spacing w:lineRule="auto" w:line="24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В случае если в одном комплекте рабочих чертежей (за одним номером) на листах предусмотрено выполнение разных строительных конструктивов, то в папке с наименованием, соответствующим этому номеру комплекта рабочих чертежей, создаются подпапки для размещения соответствующих пакетов ИД. При наименовании указанных подпапок (и имен пакетов, записываемых в Реестре) дополнительно к номеру комплекта рабочих чертежей добавляется номер/номера соответствующих листов и сокращенное название строительного конструктива.</w:t>
      </w:r>
    </w:p>
    <w:p>
      <w:pPr>
        <w:pStyle w:val="Normal"/>
        <w:widowControl w:val="false"/>
        <w:spacing w:lineRule="auto" w:line="24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Требуемые сроки подготовки и размещения на сетевом ресурсе комплекта ИД в электронном виде для проверки и согласования:</w:t>
      </w:r>
    </w:p>
    <w:p>
      <w:pPr>
        <w:pStyle w:val="Normal"/>
        <w:widowControl w:val="false"/>
        <w:spacing w:lineRule="auto" w:line="24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для ИД, оформляемой для освидетельствования (приемки) работ, оказывающих влияние на безопасность объекта (скрытые работы, ответственные конструкции, участки сетей инженерно-технического обеспечения), – за 3 (три) рабочих дня до даты освидетельствования;</w:t>
      </w:r>
    </w:p>
    <w:p>
      <w:pPr>
        <w:pStyle w:val="Normal"/>
        <w:widowControl w:val="false"/>
        <w:spacing w:lineRule="auto" w:line="24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по ИД, оформляемой для приемки работ по актам КС-2 или по актам приемки объемов фактически выполненных работ за отчетный период (календарный месяц), – за 3 (три) рабочих дня до даты предъявления указанных актов;</w:t>
      </w:r>
    </w:p>
    <w:p>
      <w:pPr>
        <w:pStyle w:val="Normal"/>
        <w:widowControl w:val="false"/>
        <w:spacing w:lineRule="auto" w:line="24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для сводной (сдаточной) ИД по полностью готовым строительным конструктивам или функционально-технологическим узлам (системам) – не позднее 5 (пяти) рабочих дней со дня сдачи-приемки полностью готового строительного конструктива и не позднее 3 (трех) рабочих дней до дня сдачи-приемки тех строительных конструктивов, завершенного монтажом оборудования или функционально-технологического узла (системы), приемка которых должна осуществляться специализированными подкомиссиями (далее – СПК);</w:t>
      </w:r>
    </w:p>
    <w:p>
      <w:pPr>
        <w:pStyle w:val="Normal"/>
        <w:widowControl w:val="false"/>
        <w:spacing w:lineRule="auto" w:line="24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для ИД по результатам пусконаладочных работ – не позднее 5 (пяти) рабочих дней после индивидуальных испытаний оборудования или функционально-технологического узла.</w:t>
      </w:r>
    </w:p>
    <w:p>
      <w:pPr>
        <w:pStyle w:val="Normal"/>
        <w:widowControl w:val="false"/>
        <w:spacing w:lineRule="auto" w:line="24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Относящаяся к оборудованию заводская сопроводительная документация в бумажном виде, представляемая поставщиком вместе с оборудованием, не подлежит сканированию для перевода в электронный формат, 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ресурсе.</w:t>
      </w:r>
    </w:p>
    <w:p>
      <w:pPr>
        <w:pStyle w:val="Normal"/>
        <w:widowControl w:val="false"/>
        <w:spacing w:lineRule="auto" w:line="24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Передача указанной документации в адрес Заказчика должна осуществляться не позднее 3 (трех) рабочих дней до дня сдачи-приемки (проведения СПК) завершенного монтажом оборудования или функционально-технологического узла (системы).</w:t>
      </w:r>
    </w:p>
    <w:p>
      <w:pPr>
        <w:pStyle w:val="Normal"/>
        <w:widowControl w:val="false"/>
        <w:spacing w:lineRule="auto" w:line="24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ИД (с соответствующим Реестром), не относящаяся к каким-то конкретным рабочим чертежам, которая ведется в течение всего периода строительства, а именно:</w:t>
      </w:r>
    </w:p>
    <w:p>
      <w:pPr>
        <w:pStyle w:val="Normal"/>
        <w:widowControl w:val="false"/>
        <w:spacing w:lineRule="auto" w:line="24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документация пооперационного строительного контроля – журналы работ (общий, специальные, авторского надзора, входного контроля);</w:t>
      </w:r>
    </w:p>
    <w:p>
      <w:pPr>
        <w:pStyle w:val="Normal"/>
        <w:widowControl w:val="false"/>
        <w:spacing w:lineRule="auto" w:line="24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ИД по геодезии – акты освидетельствования геодезической разбивочной основы для строительства, разбивки осей объекта капитального строительства на местности, Протоколы (или журнал) регистрации и переноса монтажных знаков, марок, ориентиров и реперов для геодезического контроля;</w:t>
      </w:r>
    </w:p>
    <w:p>
      <w:pPr>
        <w:pStyle w:val="Normal"/>
        <w:widowControl w:val="false"/>
        <w:spacing w:lineRule="auto" w:line="24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- ИД по мониторингу за деформациями, осадками и кренами возводимых зданий и сооружений в период строительства; </w:t>
      </w:r>
    </w:p>
    <w:p>
      <w:pPr>
        <w:pStyle w:val="Normal"/>
        <w:widowControl w:val="false"/>
        <w:spacing w:lineRule="auto" w:line="24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- ИД по геотехническому мониторингу земляных масс, грунтовых оснований, пластов, насыпей, склонов, инклинометрии скважин, сейсмометрии,</w:t>
      </w:r>
    </w:p>
    <w:p>
      <w:pPr>
        <w:pStyle w:val="Normal"/>
        <w:widowControl w:val="false"/>
        <w:spacing w:lineRule="auto" w:line="240"/>
        <w:ind w:left="0" w:right="0" w:firstLine="709"/>
        <w:jc w:val="both"/>
        <w:rPr>
          <w:b/>
          <w:sz w:val="24"/>
          <w:lang w:val="en-US"/>
        </w:rPr>
      </w:pPr>
      <w:r>
        <w:rPr>
          <w:sz w:val="24"/>
          <w:szCs w:val="24"/>
        </w:rPr>
        <w:t>будет подлежать передаче от Технического заказчика (а в случае отсутствия Технического заказчика – от Подрядчика) в адрес Заказчика единым комплектом в бумажном виде на стадии завершения строительства (реконструкции, технического перевооружения) не позднее 5 (пяти) рабочих дней после получения по результатам проверки органом государственного строительного надзора заключения</w:t>
      </w:r>
      <w:r>
        <w:rPr>
          <w:rStyle w:val="FootnoteReference"/>
          <w:sz w:val="24"/>
          <w:szCs w:val="24"/>
        </w:rPr>
        <w:footnoteReference w:id="7"/>
      </w:r>
      <w:r>
        <w:rPr>
          <w:sz w:val="24"/>
          <w:szCs w:val="24"/>
        </w:rPr>
        <w:t xml:space="preserve"> о соответствии законченного строительством, реконструкцией объекта капитального строительства требованиям технических регламентов, иных нормативных правовых актов и проектной документации,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ресурсов.</w:t>
      </w:r>
    </w:p>
    <w:p>
      <w:pPr>
        <w:pStyle w:val="Normal"/>
        <w:widowControl w:val="false"/>
        <w:spacing w:lineRule="auto" w:line="24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Требования к ведению исполнительной документации в форме электронных документов по пунктам 4, 5, 9 приложения № 2 к приказу Минстроя России от 16.05.2023 № 344 «Об утверждении состава и порядка ведения исполнительной документации при строительстве, реконструкции, капитальном ремонте объектов капитального строительства» будут применяются после реализации соответствующего функционала в информационных системах Группы РусГидро, а также размещения новой xml-схемы на официальном сайте Министерства строительства и жилищно-коммунального хозяйства Российской Федерации в сети Интернет.</w:t>
      </w:r>
    </w:p>
    <w:p>
      <w:pPr>
        <w:pStyle w:val="Normal"/>
        <w:widowControl w:val="false"/>
        <w:spacing w:lineRule="auto" w:line="240"/>
        <w:ind w:left="0" w:right="0" w:firstLine="709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spacing w:lineRule="auto" w:line="24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>Приложение: формы Реестров исполнительной документации для разделов Р-1, Р-2, Р-3, Р-4 в электронном виде.</w:t>
      </w:r>
      <w:r>
        <w:rPr>
          <w:rStyle w:val="FootnoteReference"/>
          <w:sz w:val="24"/>
          <w:szCs w:val="24"/>
        </w:rPr>
        <w:footnoteReference w:id="8"/>
      </w:r>
    </w:p>
    <w:p>
      <w:pPr>
        <w:pStyle w:val="Normal"/>
        <w:widowControl w:val="false"/>
        <w:spacing w:lineRule="auto" w:line="240" w:before="0" w:after="0"/>
        <w:ind w:left="5103" w:right="0" w:hanging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tbl>
      <w:tblPr>
        <w:tblW w:w="957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5"/>
        <w:gridCol w:w="4785"/>
      </w:tblGrid>
      <w:tr>
        <w:trPr/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Заказчик:</w:t>
            </w:r>
          </w:p>
        </w:tc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Подрядчик:</w:t>
            </w:r>
          </w:p>
        </w:tc>
      </w:tr>
      <w:tr>
        <w:trPr/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</w:tc>
        <w:tc>
          <w:tcPr>
            <w:tcW w:w="4785" w:type="dxa"/>
            <w:tcBorders/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 </w:t>
            </w:r>
          </w:p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</w:tr>
    </w:tbl>
    <w:p>
      <w:pPr>
        <w:pStyle w:val="Normal"/>
        <w:widowControl w:val="false"/>
        <w:spacing w:lineRule="auto" w:line="240" w:before="0" w:after="0"/>
        <w:ind w:left="5103" w:right="0" w:hanging="0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before="0" w:after="0"/>
        <w:ind w:left="5103" w:right="0" w:hanging="0"/>
        <w:rPr>
          <w:rFonts w:ascii="Liberation Serif" w:hAnsi="Liberation Serif"/>
          <w:sz w:val="23"/>
          <w:szCs w:val="23"/>
        </w:rPr>
      </w:pPr>
      <w:r>
        <w:rPr>
          <w:rFonts w:ascii="Liberation Serif" w:hAnsi="Liberation Serif"/>
          <w:sz w:val="24"/>
          <w:szCs w:val="24"/>
        </w:rPr>
      </w:r>
    </w:p>
    <w:p>
      <w:pPr>
        <w:pStyle w:val="Normal"/>
        <w:spacing w:before="0" w:after="0"/>
        <w:jc w:val="center"/>
        <w:rPr>
          <w:rFonts w:ascii="Liberation Serif" w:hAnsi="Liberation Serif"/>
          <w:b/>
          <w:sz w:val="24"/>
          <w:szCs w:val="24"/>
        </w:rPr>
      </w:pPr>
      <w:r>
        <w:rPr/>
      </w:r>
    </w:p>
    <w:sectPr>
      <w:headerReference w:type="default" r:id="rId2"/>
      <w:footnotePr>
        <w:numFmt w:val="decimal"/>
      </w:footnotePr>
      <w:type w:val="nextPage"/>
      <w:pgSz w:w="11906" w:h="16838"/>
      <w:pgMar w:left="1418" w:right="567" w:gutter="0" w:header="567" w:top="624" w:footer="0" w:bottom="567"/>
      <w:pgNumType w:fmt="decimal"/>
      <w:formProt w:val="false"/>
      <w:textDirection w:val="lrTb"/>
      <w:docGrid w:type="default" w:linePitch="381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Cambria">
    <w:charset w:val="01"/>
    <w:family w:val="roman"/>
    <w:pitch w:val="variable"/>
  </w:font>
  <w:font w:name="Tahoma">
    <w:charset w:val="01"/>
    <w:family w:val="roman"/>
    <w:pitch w:val="variable"/>
  </w:font>
  <w:font w:name="OpenSymbol">
    <w:altName w:val="Arial Unicode MS"/>
    <w:charset w:val="01"/>
    <w:family w:val="roman"/>
    <w:pitch w:val="variable"/>
  </w:font>
  <w:font w:name="Wingdings">
    <w:charset w:val="01"/>
    <w:family w:val="roman"/>
    <w:pitch w:val="variable"/>
  </w:font>
  <w:font w:name="Courier New">
    <w:charset w:val="01"/>
    <w:family w:val="roman"/>
    <w:pitch w:val="variable"/>
  </w:font>
  <w:font w:name="Symbol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Verdana">
    <w:charset w:val="01"/>
    <w:family w:val="roman"/>
    <w:pitch w:val="variable"/>
  </w:font>
  <w:font w:name="Arial">
    <w:charset w:val="01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widowControl w:val="false"/>
        <w:rPr/>
      </w:pPr>
      <w:r>
        <w:rPr>
          <w:rStyle w:val="Style6"/>
        </w:rPr>
        <w:footnoteRef/>
      </w:r>
      <w:r>
        <w:rPr>
          <w:rStyle w:val="Style6"/>
        </w:rPr>
        <w:tab/>
      </w:r>
      <w:r>
        <w:rPr>
          <w:rFonts w:ascii="Liberation Serif" w:hAnsi="Liberation Serif"/>
          <w:sz w:val="18"/>
          <w:szCs w:val="18"/>
        </w:rPr>
        <w:t xml:space="preserve"> Далее – ПО.</w:t>
      </w:r>
    </w:p>
  </w:footnote>
  <w:footnote w:id="3">
    <w:p>
      <w:pPr>
        <w:pStyle w:val="FootnoteText"/>
        <w:widowControl w:val="false"/>
        <w:rPr/>
      </w:pPr>
      <w:r>
        <w:rPr>
          <w:rStyle w:val="Style6"/>
        </w:rPr>
        <w:footnoteRef/>
      </w:r>
      <w:r>
        <w:rPr>
          <w:rStyle w:val="Style6"/>
        </w:rPr>
        <w:tab/>
      </w:r>
      <w:r>
        <w:rPr/>
        <w:t xml:space="preserve"> </w:t>
      </w:r>
      <w:r>
        <w:rPr>
          <w:rFonts w:ascii="Liberation Serif" w:hAnsi="Liberation Serif"/>
          <w:sz w:val="18"/>
          <w:szCs w:val="18"/>
        </w:rPr>
        <w:t>Далее соответственно Заказчик, Технический заказчик и Подрядчик.</w:t>
      </w:r>
    </w:p>
  </w:footnote>
  <w:footnote w:id="4">
    <w:p>
      <w:pPr>
        <w:pStyle w:val="FootnoteText"/>
        <w:widowControl w:val="false"/>
        <w:jc w:val="both"/>
        <w:rPr/>
      </w:pPr>
      <w:r>
        <w:rPr>
          <w:rStyle w:val="Style6"/>
        </w:rPr>
        <w:footnoteRef/>
      </w:r>
      <w:r>
        <w:rPr>
          <w:rStyle w:val="Style6"/>
        </w:rPr>
        <w:tab/>
      </w:r>
      <w:r>
        <w:rPr/>
        <w:t xml:space="preserve"> </w:t>
      </w:r>
      <w:r>
        <w:rPr>
          <w:rFonts w:ascii="Liberation Serif" w:hAnsi="Liberation Serif"/>
          <w:sz w:val="18"/>
          <w:szCs w:val="18"/>
        </w:rPr>
        <w:t>Далее также ИД. Состав исполнительной документации должен соответствовать Требованиям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обеспечения, утвержденным приказом Ростехнадзора от 26.12.2006 № 1128, и перечню ИД, указанному в проектной и рабочей документации на реконструкцию и техническое перевооружение объекта капитального строительства, а также требованиям федеральных норм и правил (ФНП), правил, руководящих документов (РД), сводов правил (СП), строительных норм и правил (СНиП), технических регламентов (ТР), национальных стандартов (ГОСТ Р), иных нормативно-правовых и нормативно-технических документов Российской Федерации, как непосредственно указанных в проектной и рабочей документации, так и не указанных, но применимых в отношении выполняемых работ.</w:t>
      </w:r>
    </w:p>
  </w:footnote>
  <w:footnote w:id="5">
    <w:p>
      <w:pPr>
        <w:pStyle w:val="FootnoteText"/>
        <w:widowControl w:val="false"/>
        <w:rPr>
          <w:sz w:val="18"/>
          <w:szCs w:val="18"/>
        </w:rPr>
      </w:pPr>
      <w:r>
        <w:rPr>
          <w:rStyle w:val="Style6"/>
        </w:rPr>
        <w:footnoteRef/>
      </w:r>
      <w:r>
        <w:rPr>
          <w:rStyle w:val="Style6"/>
        </w:rPr>
        <w:tab/>
      </w:r>
      <w:r>
        <w:rPr>
          <w:sz w:val="18"/>
          <w:szCs w:val="18"/>
        </w:rPr>
        <w:t xml:space="preserve"> </w:t>
      </w:r>
      <w:r>
        <w:rPr>
          <w:rFonts w:ascii="Liberation Serif" w:hAnsi="Liberation Serif"/>
          <w:sz w:val="18"/>
          <w:szCs w:val="18"/>
        </w:rPr>
        <w:t>К формату размещения на сетевом ресурсе исполнительной документации относятся:</w:t>
      </w:r>
    </w:p>
    <w:p>
      <w:pPr>
        <w:pStyle w:val="FootnoteText"/>
        <w:widowControl w:val="false"/>
        <w:numPr>
          <w:ilvl w:val="0"/>
          <w:numId w:val="2"/>
        </w:numPr>
        <w:tabs>
          <w:tab w:val="clear" w:pos="708"/>
          <w:tab w:val="left" w:pos="338" w:leader="none"/>
        </w:tabs>
        <w:bidi w:val="0"/>
        <w:spacing w:lineRule="auto" w:line="240" w:before="0" w:after="0"/>
        <w:ind w:left="0" w:right="0" w:firstLine="227"/>
        <w:jc w:val="both"/>
        <w:rPr>
          <w:rFonts w:ascii="Liberation Serif" w:hAnsi="Liberation Serif"/>
          <w:sz w:val="18"/>
          <w:szCs w:val="18"/>
        </w:rPr>
      </w:pPr>
      <w:r>
        <w:rPr>
          <w:rFonts w:ascii="Liberation Serif" w:hAnsi="Liberation Serif"/>
          <w:sz w:val="18"/>
          <w:szCs w:val="18"/>
        </w:rPr>
        <w:tab/>
        <w:t>электронные копии бумажной версии документации с использованием программно-технических средств;</w:t>
      </w:r>
    </w:p>
    <w:p>
      <w:pPr>
        <w:pStyle w:val="FootnoteText"/>
        <w:widowControl w:val="false"/>
        <w:numPr>
          <w:ilvl w:val="0"/>
          <w:numId w:val="2"/>
        </w:numPr>
        <w:tabs>
          <w:tab w:val="clear" w:pos="708"/>
          <w:tab w:val="left" w:pos="338" w:leader="none"/>
        </w:tabs>
        <w:bidi w:val="0"/>
        <w:spacing w:lineRule="auto" w:line="240" w:before="0" w:after="0"/>
        <w:ind w:left="0" w:right="0" w:firstLine="227"/>
        <w:jc w:val="both"/>
        <w:rPr/>
      </w:pPr>
      <w:r>
        <w:rPr>
          <w:rFonts w:ascii="Liberation Serif" w:hAnsi="Liberation Serif"/>
          <w:sz w:val="18"/>
          <w:szCs w:val="18"/>
        </w:rPr>
        <w:tab/>
        <w:t>копии в электронной форме в стандартных форматах, предусматривающих хранение графических изображений в виде векторной графики, допускающих редактирование с применением программного обеспечения; в электронной форме должны быть отражены все изменения и корректировки, выполненные в процессе проведения работ и соответствующие выполненному монтажу на оборудовании и устройствах, согласованные и заверенные проектировщиком. Обязанность по формированию электронных копий возлагается на Подрядчика.</w:t>
      </w:r>
    </w:p>
  </w:footnote>
  <w:footnote w:id="6">
    <w:p>
      <w:pPr>
        <w:pStyle w:val="FootnoteText"/>
        <w:widowControl w:val="false"/>
        <w:jc w:val="both"/>
        <w:rPr/>
      </w:pPr>
      <w:r>
        <w:rPr>
          <w:rStyle w:val="Style6"/>
        </w:rPr>
        <w:footnoteRef/>
      </w:r>
      <w:r>
        <w:rPr>
          <w:rStyle w:val="Style6"/>
        </w:rPr>
        <w:tab/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  <w:sz w:val="18"/>
          <w:szCs w:val="18"/>
        </w:rPr>
        <w:t xml:space="preserve">Подрядчик уведомляет Заказчика в случае реализации инвестиционного проекта без участия Технического заказчика </w:t>
        <w:br/>
        <w:t>в качестве стороны. Для данных инвестиционных проектов (при наличии ссылки на эту сноску далее по тексту) действия Технического заказчика выполняет Заказчик.</w:t>
      </w:r>
    </w:p>
  </w:footnote>
  <w:footnote w:id="7">
    <w:p>
      <w:pPr>
        <w:pStyle w:val="FootnoteText"/>
        <w:widowControl w:val="false"/>
        <w:jc w:val="both"/>
        <w:rPr/>
      </w:pPr>
      <w:r>
        <w:rPr>
          <w:rStyle w:val="Style6"/>
        </w:rPr>
        <w:footnoteRef/>
      </w:r>
      <w:r>
        <w:rPr>
          <w:rStyle w:val="Style6"/>
        </w:rPr>
        <w:tab/>
      </w:r>
      <w:r>
        <w:rPr>
          <w:rFonts w:ascii="Liberation Serif" w:hAnsi="Liberation Serif"/>
        </w:rPr>
        <w:t xml:space="preserve"> </w:t>
      </w:r>
      <w:r>
        <w:rPr>
          <w:rFonts w:ascii="Liberation Serif" w:hAnsi="Liberation Serif"/>
          <w:sz w:val="18"/>
          <w:szCs w:val="18"/>
        </w:rPr>
        <w:t xml:space="preserve">В случае если предусмотрено осуществление государственного строительного надзора в соответствии </w:t>
        <w:br/>
        <w:t>с «Градостроительным кодексом Российской Федерации» от 29.12.2004 № 190-ФЗ и постановлением Правительства Российской Федерации от 01.12.2021 № 2161 (ред. от 30.03.2023) «Об утверждении общих требований к организации и осуществлению регионального государственного строительного надзора».</w:t>
      </w:r>
    </w:p>
  </w:footnote>
  <w:footnote w:id="8">
    <w:p>
      <w:pPr>
        <w:pStyle w:val="FootnoteText"/>
        <w:widowControl w:val="false"/>
        <w:jc w:val="both"/>
        <w:rPr/>
      </w:pPr>
      <w:r>
        <w:rPr>
          <w:rStyle w:val="Style6"/>
        </w:rPr>
        <w:footnoteRef/>
      </w:r>
      <w:r>
        <w:rPr>
          <w:rStyle w:val="Style6"/>
        </w:rPr>
        <w:tab/>
      </w:r>
      <w:r>
        <w:rPr>
          <w:rFonts w:ascii="Liberation Serif" w:hAnsi="Liberation Serif"/>
          <w:sz w:val="18"/>
          <w:szCs w:val="18"/>
          <w:shd w:fill="FFFFFF" w:val="clear"/>
        </w:rPr>
        <w:t xml:space="preserve"> Прикладываются реестры, утвержденные приказом АО «ДРСК» от 16.10.2023 №451 </w:t>
      </w:r>
      <w:r>
        <w:rPr>
          <w:rFonts w:ascii="Liberation Serif" w:hAnsi="Liberation Serif"/>
          <w:b w:val="false"/>
          <w:bCs w:val="false"/>
          <w:i w:val="false"/>
          <w:iCs w:val="false"/>
          <w:sz w:val="18"/>
          <w:szCs w:val="18"/>
          <w:shd w:fill="FFFFFF" w:val="clear"/>
        </w:rPr>
        <w:t>«</w:t>
      </w:r>
      <w:r>
        <w:rPr>
          <w:rFonts w:eastAsia="Times New Roman" w:cs="Times New Roman" w:ascii="Liberation Serif" w:hAnsi="Liberation Serif"/>
          <w:b w:val="false"/>
          <w:bCs w:val="false"/>
          <w:i w:val="false"/>
          <w:iCs w:val="false"/>
          <w:sz w:val="18"/>
          <w:szCs w:val="18"/>
          <w:shd w:fill="FFFFFF" w:val="clear"/>
        </w:rPr>
        <w:t>О принятии к исполнению порядка представления и согласования исполнительной документации»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hd w:val="clear" w:color="auto" w:fill="FFFFFF"/>
      <w:tabs>
        <w:tab w:val="clear" w:pos="708"/>
        <w:tab w:val="left" w:pos="3148" w:leader="none"/>
        <w:tab w:val="center" w:pos="4818" w:leader="none"/>
        <w:tab w:val="left" w:pos="6926" w:leader="none"/>
      </w:tabs>
      <w:spacing w:lineRule="auto" w:line="240"/>
      <w:ind w:hanging="0"/>
      <w:jc w:val="center"/>
      <w:rPr>
        <w:i/>
        <w:i/>
        <w:sz w:val="22"/>
        <w:szCs w:val="24"/>
      </w:rPr>
    </w:pPr>
    <w:r>
      <w:rPr>
        <w:i/>
        <w:sz w:val="22"/>
        <w:szCs w:val="24"/>
      </w:rPr>
      <w:t>ТФД №1.1.1 Договор подряда на выполнение работ по реконструкции/ модернизации «под ключ» (для выполнения программы технического перевооружения и реконструкции основных фондов), предусматривающий несколько этапов, банковские гарантии по возврату аванса и надлежащего исполнения обязательств (с оговорками по привлечению МСП на субподряд)</w:t>
    </w:r>
  </w:p>
  <w:p>
    <w:pPr>
      <w:pStyle w:val="Header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sz w:val="18"/>
        <w:szCs w:val="1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99"/>
  <w:embedSystemFonts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semiHidden="1" w:unhideWhenUsed="1"/>
    <w:lsdException w:name="Body Text 3" w:uiPriority="0" w:semiHidden="1" w:unhideWhenUsed="1"/>
    <w:lsdException w:name="Body Text Indent 2" w:semiHidden="1" w:unhideWhenUsed="1"/>
    <w:lsdException w:name="Body Text Indent 3" w:uiPriority="0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16193c"/>
    <w:pPr>
      <w:widowControl/>
      <w:suppressAutoHyphens w:val="true"/>
      <w:bidi w:val="0"/>
      <w:spacing w:lineRule="auto" w:line="360" w:before="0" w:after="0"/>
      <w:ind w:firstLine="567"/>
      <w:jc w:val="both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Heading1">
    <w:name w:val="Heading 1"/>
    <w:basedOn w:val="Normal"/>
    <w:next w:val="Normal"/>
    <w:link w:val="11"/>
    <w:qFormat/>
    <w:rsid w:val="00ae674d"/>
    <w:pPr>
      <w:keepNext w:val="true"/>
      <w:spacing w:before="240" w:after="60"/>
      <w:outlineLvl w:val="0"/>
    </w:pPr>
    <w:rPr>
      <w:rFonts w:ascii="Cambria" w:hAnsi="Cambria"/>
      <w:b/>
      <w:bCs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2"/>
    <w:qFormat/>
    <w:rsid w:val="00ae674d"/>
    <w:pPr>
      <w:keepNext w:val="true"/>
      <w:spacing w:before="240" w:after="60"/>
      <w:outlineLvl w:val="1"/>
    </w:pPr>
    <w:rPr>
      <w:rFonts w:ascii="Cambria" w:hAnsi="Cambria"/>
      <w:b/>
      <w:bCs/>
      <w:i/>
      <w:iCs/>
      <w:lang w:val="x-none" w:eastAsia="x-none"/>
    </w:rPr>
  </w:style>
  <w:style w:type="paragraph" w:styleId="Heading3">
    <w:name w:val="Heading 3"/>
    <w:basedOn w:val="Normal"/>
    <w:next w:val="Normal"/>
    <w:link w:val="3"/>
    <w:uiPriority w:val="9"/>
    <w:qFormat/>
    <w:rsid w:val="005f3f9e"/>
    <w:pPr>
      <w:keepNext w:val="true"/>
      <w:suppressAutoHyphens w:val="true"/>
      <w:spacing w:lineRule="auto" w:line="240" w:before="120" w:after="120"/>
      <w:ind w:hanging="0"/>
      <w:jc w:val="left"/>
      <w:outlineLvl w:val="2"/>
    </w:pPr>
    <w:rPr>
      <w:b/>
      <w:szCs w:val="20"/>
      <w:lang w:val="x-none" w:eastAsia="x-none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6">
    <w:name w:val="Символ сноски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FootnoteCharacters">
    <w:name w:val="Footnote Characters"/>
    <w:uiPriority w:val="99"/>
    <w:qFormat/>
    <w:rsid w:val="00d45657"/>
    <w:rPr>
      <w:vertAlign w:val="superscript"/>
    </w:rPr>
  </w:style>
  <w:style w:type="character" w:styleId="3" w:customStyle="1">
    <w:name w:val="Заголовок 3 Знак"/>
    <w:qFormat/>
    <w:rsid w:val="005f3f9e"/>
    <w:rPr>
      <w:b/>
      <w:sz w:val="28"/>
    </w:rPr>
  </w:style>
  <w:style w:type="character" w:styleId="31" w:customStyle="1">
    <w:name w:val="3. Подпункт Знак"/>
    <w:link w:val="33"/>
    <w:qFormat/>
    <w:rsid w:val="005f4a86"/>
    <w:rPr>
      <w:b/>
      <w:bCs/>
      <w:sz w:val="24"/>
      <w:szCs w:val="24"/>
      <w:lang w:val="x-none" w:eastAsia="x-none"/>
    </w:rPr>
  </w:style>
  <w:style w:type="character" w:styleId="Style7" w:customStyle="1">
    <w:name w:val="Текст выноски Знак"/>
    <w:link w:val="BalloonText"/>
    <w:qFormat/>
    <w:rsid w:val="00dc2b59"/>
    <w:rPr>
      <w:rFonts w:ascii="Tahoma" w:hAnsi="Tahoma" w:cs="Tahoma"/>
      <w:sz w:val="16"/>
      <w:szCs w:val="16"/>
    </w:rPr>
  </w:style>
  <w:style w:type="character" w:styleId="1" w:customStyle="1">
    <w:name w:val="1. Статья Знак"/>
    <w:link w:val="12"/>
    <w:qFormat/>
    <w:rsid w:val="00f50d64"/>
    <w:rPr>
      <w:sz w:val="24"/>
      <w:szCs w:val="24"/>
      <w:lang w:val="x-none" w:eastAsia="x-none"/>
    </w:rPr>
  </w:style>
  <w:style w:type="character" w:styleId="4" w:customStyle="1">
    <w:name w:val="4. Отчерк Знак"/>
    <w:link w:val="41"/>
    <w:qFormat/>
    <w:rsid w:val="00f50d64"/>
    <w:rPr>
      <w:sz w:val="24"/>
      <w:szCs w:val="24"/>
      <w:lang w:val="x-none" w:eastAsia="x-none"/>
    </w:rPr>
  </w:style>
  <w:style w:type="character" w:styleId="Annotationreference">
    <w:name w:val="annotation reference"/>
    <w:qFormat/>
    <w:rsid w:val="00f50d64"/>
    <w:rPr>
      <w:sz w:val="16"/>
      <w:szCs w:val="16"/>
    </w:rPr>
  </w:style>
  <w:style w:type="character" w:styleId="Style8" w:customStyle="1">
    <w:name w:val="Текст примечания Знак"/>
    <w:link w:val="Annotationtext"/>
    <w:qFormat/>
    <w:rsid w:val="00f50d64"/>
    <w:rPr/>
  </w:style>
  <w:style w:type="character" w:styleId="Style9" w:customStyle="1">
    <w:name w:val="Тема примечания Знак"/>
    <w:link w:val="Annotationsubject"/>
    <w:qFormat/>
    <w:rsid w:val="00f50d64"/>
    <w:rPr>
      <w:b/>
      <w:bCs/>
    </w:rPr>
  </w:style>
  <w:style w:type="character" w:styleId="Style10" w:customStyle="1">
    <w:name w:val="Нижний колонтитул Знак"/>
    <w:uiPriority w:val="99"/>
    <w:qFormat/>
    <w:rsid w:val="0043217c"/>
    <w:rPr>
      <w:sz w:val="28"/>
      <w:szCs w:val="28"/>
    </w:rPr>
  </w:style>
  <w:style w:type="character" w:styleId="32" w:customStyle="1">
    <w:name w:val="Основной текст 3 Знак"/>
    <w:link w:val="BodyText3"/>
    <w:qFormat/>
    <w:rsid w:val="001d2676"/>
    <w:rPr>
      <w:color w:val="0000FF"/>
      <w:sz w:val="24"/>
      <w:szCs w:val="24"/>
      <w:lang w:eastAsia="en-US"/>
    </w:rPr>
  </w:style>
  <w:style w:type="character" w:styleId="Style11" w:customStyle="1">
    <w:name w:val="Заголовок Знак"/>
    <w:qFormat/>
    <w:rsid w:val="00ae674d"/>
    <w:rPr>
      <w:sz w:val="22"/>
      <w:szCs w:val="22"/>
      <w:shd w:fill="FFFFFF" w:val="clear"/>
    </w:rPr>
  </w:style>
  <w:style w:type="character" w:styleId="11" w:customStyle="1">
    <w:name w:val="Заголовок 1 Знак"/>
    <w:qFormat/>
    <w:rsid w:val="00ae674d"/>
    <w:rPr>
      <w:rFonts w:ascii="Cambria" w:hAnsi="Cambria" w:eastAsia="Times New Roman" w:cs="Times New Roman"/>
      <w:b/>
      <w:bCs/>
      <w:sz w:val="32"/>
      <w:szCs w:val="32"/>
    </w:rPr>
  </w:style>
  <w:style w:type="character" w:styleId="2" w:customStyle="1">
    <w:name w:val="Заголовок 2 Знак"/>
    <w:semiHidden/>
    <w:qFormat/>
    <w:rsid w:val="00ae674d"/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Style12" w:customStyle="1">
    <w:name w:val="Основной текст с отступом Знак"/>
    <w:qFormat/>
    <w:rsid w:val="00ae674d"/>
    <w:rPr>
      <w:sz w:val="28"/>
      <w:szCs w:val="28"/>
    </w:rPr>
  </w:style>
  <w:style w:type="character" w:styleId="FontStyle16" w:customStyle="1">
    <w:name w:val="Font Style16"/>
    <w:qFormat/>
    <w:rsid w:val="00204c48"/>
    <w:rPr>
      <w:rFonts w:ascii="Times New Roman" w:hAnsi="Times New Roman" w:cs="Times New Roman"/>
      <w:sz w:val="24"/>
      <w:szCs w:val="24"/>
    </w:rPr>
  </w:style>
  <w:style w:type="character" w:styleId="Style13" w:customStyle="1">
    <w:name w:val="Текст сноски Знак"/>
    <w:uiPriority w:val="99"/>
    <w:qFormat/>
    <w:rsid w:val="00f43f0d"/>
    <w:rPr/>
  </w:style>
  <w:style w:type="character" w:styleId="Hyperlink">
    <w:name w:val="Hyperlink"/>
    <w:uiPriority w:val="99"/>
    <w:unhideWhenUsed/>
    <w:rsid w:val="00ee68c6"/>
    <w:rPr>
      <w:color w:val="0000FF"/>
      <w:u w:val="single"/>
    </w:rPr>
  </w:style>
  <w:style w:type="character" w:styleId="Style14" w:customStyle="1">
    <w:name w:val="Текст концевой сноски Знак"/>
    <w:uiPriority w:val="99"/>
    <w:semiHidden/>
    <w:qFormat/>
    <w:rsid w:val="008c02d8"/>
    <w:rPr/>
  </w:style>
  <w:style w:type="character" w:styleId="Style15">
    <w:name w:val="Символ концевой сноски"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EndnoteCharacters">
    <w:name w:val="Endnote Characters"/>
    <w:uiPriority w:val="99"/>
    <w:semiHidden/>
    <w:unhideWhenUsed/>
    <w:qFormat/>
    <w:rsid w:val="008c02d8"/>
    <w:rPr>
      <w:vertAlign w:val="superscript"/>
    </w:rPr>
  </w:style>
  <w:style w:type="character" w:styleId="Style16" w:customStyle="1">
    <w:name w:val="Абзац списка Знак"/>
    <w:link w:val="ListParagraph"/>
    <w:uiPriority w:val="34"/>
    <w:qFormat/>
    <w:locked/>
    <w:rsid w:val="0047622f"/>
    <w:rPr>
      <w:sz w:val="24"/>
      <w:szCs w:val="24"/>
    </w:rPr>
  </w:style>
  <w:style w:type="character" w:styleId="Style17" w:customStyle="1">
    <w:name w:val="Верхний колонтитул Знак"/>
    <w:basedOn w:val="DefaultParagraphFont"/>
    <w:qFormat/>
    <w:rsid w:val="005571aa"/>
    <w:rPr>
      <w:sz w:val="28"/>
      <w:szCs w:val="28"/>
    </w:rPr>
  </w:style>
  <w:style w:type="character" w:styleId="WW8Num1z0">
    <w:name w:val="WW8Num1z0"/>
    <w:qFormat/>
    <w:rPr>
      <w:rFonts w:ascii="Times New Roman" w:hAnsi="Times New Roman" w:cs="Times New Roman"/>
      <w:sz w:val="18"/>
      <w:szCs w:val="18"/>
    </w:rPr>
  </w:style>
  <w:style w:type="character" w:styleId="Style18">
    <w:name w:val="Маркеры"/>
    <w:qFormat/>
    <w:rPr>
      <w:rFonts w:ascii="OpenSymbol" w:hAnsi="OpenSymbol" w:eastAsia="OpenSymbol" w:cs="OpenSymbol"/>
    </w:rPr>
  </w:style>
  <w:style w:type="character" w:styleId="Style19">
    <w:name w:val="Символы концевой сноски"/>
    <w:qFormat/>
    <w:rPr/>
  </w:style>
  <w:style w:type="character" w:styleId="FollowedHyperlink">
    <w:name w:val="FollowedHyperlink"/>
    <w:rPr>
      <w:color w:val="800080"/>
      <w:u w:val="single"/>
    </w:rPr>
  </w:style>
  <w:style w:type="character" w:styleId="EndnoteReference1">
    <w:name w:val="Endnote Reference1"/>
    <w:qFormat/>
    <w:rPr>
      <w:vertAlign w:val="superscript"/>
    </w:rPr>
  </w:style>
  <w:style w:type="character" w:styleId="FootnoteReference1">
    <w:name w:val="Footnote Reference1"/>
    <w:qFormat/>
    <w:rPr>
      <w:vertAlign w:val="superscript"/>
    </w:rPr>
  </w:style>
  <w:style w:type="character" w:styleId="EndnoteReference3">
    <w:name w:val="Endnote Reference3"/>
    <w:qFormat/>
    <w:rPr>
      <w:vertAlign w:val="superscript"/>
    </w:rPr>
  </w:style>
  <w:style w:type="character" w:styleId="FootnoteReference3">
    <w:name w:val="Footnote Reference3"/>
    <w:qFormat/>
    <w:rPr>
      <w:vertAlign w:val="superscript"/>
    </w:rPr>
  </w:style>
  <w:style w:type="character" w:styleId="EndnoteReference2">
    <w:name w:val="Endnote Reference2"/>
    <w:qFormat/>
    <w:rPr>
      <w:vertAlign w:val="superscript"/>
    </w:rPr>
  </w:style>
  <w:style w:type="character" w:styleId="FootnoteReference2">
    <w:name w:val="Footnote Reference2"/>
    <w:qFormat/>
    <w:rPr>
      <w:vertAlign w:val="superscript"/>
    </w:rPr>
  </w:style>
  <w:style w:type="character" w:styleId="EndnoteReference11">
    <w:name w:val="Endnote Reference11"/>
    <w:qFormat/>
    <w:rPr>
      <w:vertAlign w:val="superscript"/>
    </w:rPr>
  </w:style>
  <w:style w:type="character" w:styleId="WW-">
    <w:name w:val="WW-Символы концевой сноски"/>
    <w:qFormat/>
    <w:rPr/>
  </w:style>
  <w:style w:type="character" w:styleId="FootnoteReference11">
    <w:name w:val="Footnote Reference11"/>
    <w:qFormat/>
    <w:rPr>
      <w:vertAlign w:val="superscript"/>
    </w:rPr>
  </w:style>
  <w:style w:type="character" w:styleId="Style20">
    <w:name w:val="Название Знак"/>
    <w:qFormat/>
    <w:rPr>
      <w:b/>
      <w:bCs/>
      <w:sz w:val="24"/>
      <w:szCs w:val="24"/>
    </w:rPr>
  </w:style>
  <w:style w:type="character" w:styleId="Style21">
    <w:name w:val="Основной текст Знак"/>
    <w:qFormat/>
    <w:rPr>
      <w:sz w:val="24"/>
      <w:szCs w:val="24"/>
    </w:rPr>
  </w:style>
  <w:style w:type="character" w:styleId="Style22">
    <w:name w:val="Знак примечания"/>
    <w:qFormat/>
    <w:rPr>
      <w:sz w:val="16"/>
      <w:szCs w:val="16"/>
    </w:rPr>
  </w:style>
  <w:style w:type="character" w:styleId="PageNumber">
    <w:name w:val="Page Number"/>
    <w:basedOn w:val="Style23"/>
    <w:rPr/>
  </w:style>
  <w:style w:type="character" w:styleId="Style23">
    <w:name w:val="Основной шрифт абзаца"/>
    <w:qFormat/>
    <w:rPr/>
  </w:style>
  <w:style w:type="character" w:styleId="WW8Num29z0">
    <w:name w:val="WW8Num29z0"/>
    <w:qFormat/>
    <w:rPr/>
  </w:style>
  <w:style w:type="character" w:styleId="WW8Num28z2">
    <w:name w:val="WW8Num28z2"/>
    <w:qFormat/>
    <w:rPr>
      <w:rFonts w:ascii="Wingdings" w:hAnsi="Wingdings" w:cs="Wingdings"/>
    </w:rPr>
  </w:style>
  <w:style w:type="character" w:styleId="WW8Num28z1">
    <w:name w:val="WW8Num28z1"/>
    <w:qFormat/>
    <w:rPr>
      <w:rFonts w:ascii="Courier New" w:hAnsi="Courier New" w:cs="Courier New"/>
    </w:rPr>
  </w:style>
  <w:style w:type="character" w:styleId="WW8Num28z0">
    <w:name w:val="WW8Num28z0"/>
    <w:qFormat/>
    <w:rPr>
      <w:rFonts w:ascii="Symbol" w:hAnsi="Symbol" w:cs="Symbol"/>
    </w:rPr>
  </w:style>
  <w:style w:type="character" w:styleId="WW8Num27z0">
    <w:name w:val="WW8Num27z0"/>
    <w:qFormat/>
    <w:rPr/>
  </w:style>
  <w:style w:type="character" w:styleId="WW8Num26z0">
    <w:name w:val="WW8Num26z0"/>
    <w:qFormat/>
    <w:rPr/>
  </w:style>
  <w:style w:type="character" w:styleId="WW8Num25z2">
    <w:name w:val="WW8Num25z2"/>
    <w:qFormat/>
    <w:rPr>
      <w:rFonts w:ascii="Wingdings" w:hAnsi="Wingdings" w:cs="Wingdings"/>
    </w:rPr>
  </w:style>
  <w:style w:type="character" w:styleId="WW8Num25z1">
    <w:name w:val="WW8Num25z1"/>
    <w:qFormat/>
    <w:rPr>
      <w:rFonts w:ascii="Courier New" w:hAnsi="Courier New" w:cs="Courier New"/>
    </w:rPr>
  </w:style>
  <w:style w:type="character" w:styleId="WW8Num25z0">
    <w:name w:val="WW8Num25z0"/>
    <w:qFormat/>
    <w:rPr>
      <w:rFonts w:ascii="Symbol" w:hAnsi="Symbol" w:cs="Symbol"/>
    </w:rPr>
  </w:style>
  <w:style w:type="character" w:styleId="WW8Num24z8">
    <w:name w:val="WW8Num24z8"/>
    <w:qFormat/>
    <w:rPr/>
  </w:style>
  <w:style w:type="character" w:styleId="WW8Num24z7">
    <w:name w:val="WW8Num24z7"/>
    <w:qFormat/>
    <w:rPr/>
  </w:style>
  <w:style w:type="character" w:styleId="WW8Num24z6">
    <w:name w:val="WW8Num24z6"/>
    <w:qFormat/>
    <w:rPr/>
  </w:style>
  <w:style w:type="character" w:styleId="WW8Num24z5">
    <w:name w:val="WW8Num24z5"/>
    <w:qFormat/>
    <w:rPr/>
  </w:style>
  <w:style w:type="character" w:styleId="WW8Num24z4">
    <w:name w:val="WW8Num24z4"/>
    <w:qFormat/>
    <w:rPr/>
  </w:style>
  <w:style w:type="character" w:styleId="WW8Num24z3">
    <w:name w:val="WW8Num24z3"/>
    <w:qFormat/>
    <w:rPr/>
  </w:style>
  <w:style w:type="character" w:styleId="WW8Num24z2">
    <w:name w:val="WW8Num24z2"/>
    <w:qFormat/>
    <w:rPr>
      <w:b w:val="false"/>
      <w:sz w:val="24"/>
      <w:szCs w:val="24"/>
    </w:rPr>
  </w:style>
  <w:style w:type="character" w:styleId="WW8Num24z1">
    <w:name w:val="WW8Num24z1"/>
    <w:qFormat/>
    <w:rPr>
      <w:b w:val="false"/>
      <w:u w:val="none"/>
    </w:rPr>
  </w:style>
  <w:style w:type="character" w:styleId="WW8Num24z0">
    <w:name w:val="WW8Num24z0"/>
    <w:qFormat/>
    <w:rPr>
      <w:b/>
    </w:rPr>
  </w:style>
  <w:style w:type="character" w:styleId="WW8Num23z2">
    <w:name w:val="WW8Num23z2"/>
    <w:qFormat/>
    <w:rPr>
      <w:rFonts w:ascii="Wingdings" w:hAnsi="Wingdings" w:cs="Wingdings"/>
    </w:rPr>
  </w:style>
  <w:style w:type="character" w:styleId="WW8Num23z1">
    <w:name w:val="WW8Num23z1"/>
    <w:qFormat/>
    <w:rPr>
      <w:rFonts w:ascii="Courier New" w:hAnsi="Courier New" w:cs="Courier New"/>
    </w:rPr>
  </w:style>
  <w:style w:type="character" w:styleId="WW8Num23z0">
    <w:name w:val="WW8Num23z0"/>
    <w:qFormat/>
    <w:rPr>
      <w:rFonts w:ascii="Symbol" w:hAnsi="Symbol" w:cs="Symbol"/>
    </w:rPr>
  </w:style>
  <w:style w:type="character" w:styleId="WW8Num22z8">
    <w:name w:val="WW8Num22z8"/>
    <w:qFormat/>
    <w:rPr/>
  </w:style>
  <w:style w:type="character" w:styleId="WW8Num22z7">
    <w:name w:val="WW8Num22z7"/>
    <w:qFormat/>
    <w:rPr/>
  </w:style>
  <w:style w:type="character" w:styleId="WW8Num22z6">
    <w:name w:val="WW8Num22z6"/>
    <w:qFormat/>
    <w:rPr/>
  </w:style>
  <w:style w:type="character" w:styleId="WW8Num22z5">
    <w:name w:val="WW8Num22z5"/>
    <w:qFormat/>
    <w:rPr/>
  </w:style>
  <w:style w:type="character" w:styleId="WW8Num22z4">
    <w:name w:val="WW8Num22z4"/>
    <w:qFormat/>
    <w:rPr/>
  </w:style>
  <w:style w:type="character" w:styleId="WW8Num22z3">
    <w:name w:val="WW8Num22z3"/>
    <w:qFormat/>
    <w:rPr/>
  </w:style>
  <w:style w:type="character" w:styleId="WW8Num22z2">
    <w:name w:val="WW8Num22z2"/>
    <w:qFormat/>
    <w:rPr/>
  </w:style>
  <w:style w:type="character" w:styleId="WW8Num22z1">
    <w:name w:val="WW8Num22z1"/>
    <w:qFormat/>
    <w:rPr/>
  </w:style>
  <w:style w:type="character" w:styleId="WW8Num22z0">
    <w:name w:val="WW8Num22z0"/>
    <w:qFormat/>
    <w:rPr>
      <w:sz w:val="24"/>
      <w:szCs w:val="24"/>
    </w:rPr>
  </w:style>
  <w:style w:type="character" w:styleId="WW8Num21z2">
    <w:name w:val="WW8Num21z2"/>
    <w:qFormat/>
    <w:rPr>
      <w:rFonts w:ascii="Wingdings" w:hAnsi="Wingdings" w:cs="Wingdings"/>
    </w:rPr>
  </w:style>
  <w:style w:type="character" w:styleId="WW8Num21z1">
    <w:name w:val="WW8Num21z1"/>
    <w:qFormat/>
    <w:rPr>
      <w:rFonts w:ascii="Courier New" w:hAnsi="Courier New" w:cs="Courier New"/>
    </w:rPr>
  </w:style>
  <w:style w:type="character" w:styleId="WW8Num21z0">
    <w:name w:val="WW8Num21z0"/>
    <w:qFormat/>
    <w:rPr>
      <w:rFonts w:ascii="Symbol" w:hAnsi="Symbol" w:cs="Symbol"/>
    </w:rPr>
  </w:style>
  <w:style w:type="character" w:styleId="WW8Num20z8">
    <w:name w:val="WW8Num20z8"/>
    <w:qFormat/>
    <w:rPr/>
  </w:style>
  <w:style w:type="character" w:styleId="WW8Num20z7">
    <w:name w:val="WW8Num20z7"/>
    <w:qFormat/>
    <w:rPr/>
  </w:style>
  <w:style w:type="character" w:styleId="WW8Num20z6">
    <w:name w:val="WW8Num20z6"/>
    <w:qFormat/>
    <w:rPr/>
  </w:style>
  <w:style w:type="character" w:styleId="WW8Num20z5">
    <w:name w:val="WW8Num20z5"/>
    <w:qFormat/>
    <w:rPr/>
  </w:style>
  <w:style w:type="character" w:styleId="WW8Num20z4">
    <w:name w:val="WW8Num20z4"/>
    <w:qFormat/>
    <w:rPr/>
  </w:style>
  <w:style w:type="character" w:styleId="WW8Num20z3">
    <w:name w:val="WW8Num20z3"/>
    <w:qFormat/>
    <w:rPr/>
  </w:style>
  <w:style w:type="character" w:styleId="WW8Num20z2">
    <w:name w:val="WW8Num20z2"/>
    <w:qFormat/>
    <w:rPr>
      <w:b w:val="false"/>
      <w:sz w:val="24"/>
      <w:szCs w:val="24"/>
    </w:rPr>
  </w:style>
  <w:style w:type="character" w:styleId="WW8Num20z1">
    <w:name w:val="WW8Num20z1"/>
    <w:qFormat/>
    <w:rPr>
      <w:rFonts w:ascii="Symbol" w:hAnsi="Symbol" w:cs="Symbol"/>
      <w:b w:val="false"/>
      <w:u w:val="none"/>
    </w:rPr>
  </w:style>
  <w:style w:type="character" w:styleId="WW8Num20z0">
    <w:name w:val="WW8Num20z0"/>
    <w:qFormat/>
    <w:rPr>
      <w:b/>
    </w:rPr>
  </w:style>
  <w:style w:type="character" w:styleId="WW8Num19z2">
    <w:name w:val="WW8Num19z2"/>
    <w:qFormat/>
    <w:rPr>
      <w:rFonts w:ascii="Wingdings" w:hAnsi="Wingdings" w:cs="Wingdings"/>
    </w:rPr>
  </w:style>
  <w:style w:type="character" w:styleId="WW8Num19z1">
    <w:name w:val="WW8Num19z1"/>
    <w:qFormat/>
    <w:rPr>
      <w:rFonts w:ascii="Courier New" w:hAnsi="Courier New" w:cs="Courier New"/>
    </w:rPr>
  </w:style>
  <w:style w:type="character" w:styleId="WW8Num19z0">
    <w:name w:val="WW8Num19z0"/>
    <w:qFormat/>
    <w:rPr>
      <w:rFonts w:ascii="Symbol" w:hAnsi="Symbol" w:cs="Symbol"/>
    </w:rPr>
  </w:style>
  <w:style w:type="character" w:styleId="WW8Num18z0">
    <w:name w:val="WW8Num18z0"/>
    <w:qFormat/>
    <w:rPr/>
  </w:style>
  <w:style w:type="character" w:styleId="WW8Num17z8">
    <w:name w:val="WW8Num17z8"/>
    <w:qFormat/>
    <w:rPr/>
  </w:style>
  <w:style w:type="character" w:styleId="WW8Num17z7">
    <w:name w:val="WW8Num17z7"/>
    <w:qFormat/>
    <w:rPr/>
  </w:style>
  <w:style w:type="character" w:styleId="WW8Num17z6">
    <w:name w:val="WW8Num17z6"/>
    <w:qFormat/>
    <w:rPr/>
  </w:style>
  <w:style w:type="character" w:styleId="WW8Num17z5">
    <w:name w:val="WW8Num17z5"/>
    <w:qFormat/>
    <w:rPr/>
  </w:style>
  <w:style w:type="character" w:styleId="WW8Num17z4">
    <w:name w:val="WW8Num17z4"/>
    <w:qFormat/>
    <w:rPr/>
  </w:style>
  <w:style w:type="character" w:styleId="WW8Num17z3">
    <w:name w:val="WW8Num17z3"/>
    <w:qFormat/>
    <w:rPr/>
  </w:style>
  <w:style w:type="character" w:styleId="WW8Num17z2">
    <w:name w:val="WW8Num17z2"/>
    <w:qFormat/>
    <w:rPr/>
  </w:style>
  <w:style w:type="character" w:styleId="WW8Num17z1">
    <w:name w:val="WW8Num17z1"/>
    <w:qFormat/>
    <w:rPr/>
  </w:style>
  <w:style w:type="character" w:styleId="WW8Num17z0">
    <w:name w:val="WW8Num17z0"/>
    <w:qFormat/>
    <w:rPr>
      <w:b/>
    </w:rPr>
  </w:style>
  <w:style w:type="character" w:styleId="WW8Num16z3">
    <w:name w:val="WW8Num16z3"/>
    <w:qFormat/>
    <w:rPr>
      <w:rFonts w:ascii="Symbol" w:hAnsi="Symbol" w:cs="Symbol"/>
    </w:rPr>
  </w:style>
  <w:style w:type="character" w:styleId="WW8Num16z2">
    <w:name w:val="WW8Num16z2"/>
    <w:qFormat/>
    <w:rPr>
      <w:rFonts w:ascii="Wingdings" w:hAnsi="Wingdings" w:cs="Wingdings"/>
    </w:rPr>
  </w:style>
  <w:style w:type="character" w:styleId="WW8Num16z1">
    <w:name w:val="WW8Num16z1"/>
    <w:qFormat/>
    <w:rPr>
      <w:rFonts w:ascii="Courier New" w:hAnsi="Courier New" w:cs="Courier New"/>
    </w:rPr>
  </w:style>
  <w:style w:type="character" w:styleId="WW8Num16z0">
    <w:name w:val="WW8Num16z0"/>
    <w:qFormat/>
    <w:rPr>
      <w:rFonts w:ascii="Times New Roman" w:hAnsi="Times New Roman" w:cs="Times New Roman"/>
    </w:rPr>
  </w:style>
  <w:style w:type="character" w:styleId="WW8Num15z2">
    <w:name w:val="WW8Num15z2"/>
    <w:qFormat/>
    <w:rPr>
      <w:rFonts w:ascii="Wingdings" w:hAnsi="Wingdings" w:cs="Wingdings"/>
    </w:rPr>
  </w:style>
  <w:style w:type="character" w:styleId="WW8Num15z1">
    <w:name w:val="WW8Num15z1"/>
    <w:qFormat/>
    <w:rPr>
      <w:rFonts w:ascii="Courier New" w:hAnsi="Courier New" w:cs="Courier New"/>
    </w:rPr>
  </w:style>
  <w:style w:type="character" w:styleId="WW8Num15z0">
    <w:name w:val="WW8Num15z0"/>
    <w:qFormat/>
    <w:rPr>
      <w:rFonts w:ascii="Symbol" w:hAnsi="Symbol" w:cs="Symbol"/>
    </w:rPr>
  </w:style>
  <w:style w:type="character" w:styleId="WW8Num14z8">
    <w:name w:val="WW8Num14z8"/>
    <w:qFormat/>
    <w:rPr/>
  </w:style>
  <w:style w:type="character" w:styleId="WW8Num14z7">
    <w:name w:val="WW8Num14z7"/>
    <w:qFormat/>
    <w:rPr/>
  </w:style>
  <w:style w:type="character" w:styleId="WW8Num14z6">
    <w:name w:val="WW8Num14z6"/>
    <w:qFormat/>
    <w:rPr/>
  </w:style>
  <w:style w:type="character" w:styleId="WW8Num14z5">
    <w:name w:val="WW8Num14z5"/>
    <w:qFormat/>
    <w:rPr/>
  </w:style>
  <w:style w:type="character" w:styleId="WW8Num14z4">
    <w:name w:val="WW8Num14z4"/>
    <w:qFormat/>
    <w:rPr/>
  </w:style>
  <w:style w:type="character" w:styleId="WW8Num14z3">
    <w:name w:val="WW8Num14z3"/>
    <w:qFormat/>
    <w:rPr/>
  </w:style>
  <w:style w:type="character" w:styleId="WW8Num14z2">
    <w:name w:val="WW8Num14z2"/>
    <w:qFormat/>
    <w:rPr/>
  </w:style>
  <w:style w:type="character" w:styleId="WW8Num14z1">
    <w:name w:val="WW8Num14z1"/>
    <w:qFormat/>
    <w:rPr/>
  </w:style>
  <w:style w:type="character" w:styleId="WW8Num14z0">
    <w:name w:val="WW8Num14z0"/>
    <w:qFormat/>
    <w:rPr>
      <w:sz w:val="24"/>
      <w:szCs w:val="24"/>
    </w:rPr>
  </w:style>
  <w:style w:type="character" w:styleId="WW8Num13z0">
    <w:name w:val="WW8Num13z0"/>
    <w:qFormat/>
    <w:rPr/>
  </w:style>
  <w:style w:type="character" w:styleId="WW8Num12z2">
    <w:name w:val="WW8Num12z2"/>
    <w:qFormat/>
    <w:rPr>
      <w:rFonts w:ascii="Wingdings" w:hAnsi="Wingdings" w:cs="Wingdings"/>
    </w:rPr>
  </w:style>
  <w:style w:type="character" w:styleId="WW8Num12z1">
    <w:name w:val="WW8Num12z1"/>
    <w:qFormat/>
    <w:rPr>
      <w:rFonts w:ascii="Courier New" w:hAnsi="Courier New" w:cs="Courier New"/>
    </w:rPr>
  </w:style>
  <w:style w:type="character" w:styleId="WW8Num12z0">
    <w:name w:val="WW8Num12z0"/>
    <w:qFormat/>
    <w:rPr>
      <w:rFonts w:ascii="Symbol" w:hAnsi="Symbol" w:cs="Symbol"/>
    </w:rPr>
  </w:style>
  <w:style w:type="character" w:styleId="WW8Num9z2">
    <w:name w:val="WW8Num9z2"/>
    <w:qFormat/>
    <w:rPr>
      <w:rFonts w:ascii="Wingdings" w:hAnsi="Wingdings" w:cs="Wingdings"/>
    </w:rPr>
  </w:style>
  <w:style w:type="character" w:styleId="WW8Num9z1">
    <w:name w:val="WW8Num9z1"/>
    <w:qFormat/>
    <w:rPr>
      <w:rFonts w:ascii="Courier New" w:hAnsi="Courier New" w:cs="Courier New"/>
    </w:rPr>
  </w:style>
  <w:style w:type="character" w:styleId="WW8Num7z2">
    <w:name w:val="WW8Num7z2"/>
    <w:qFormat/>
    <w:rPr>
      <w:rFonts w:ascii="Wingdings" w:hAnsi="Wingdings" w:cs="Wingdings"/>
    </w:rPr>
  </w:style>
  <w:style w:type="character" w:styleId="WW8Num7z1">
    <w:name w:val="WW8Num7z1"/>
    <w:qFormat/>
    <w:rPr>
      <w:rFonts w:ascii="Courier New" w:hAnsi="Courier New" w:cs="Courier New"/>
    </w:rPr>
  </w:style>
  <w:style w:type="character" w:styleId="WW8Num3z2">
    <w:name w:val="WW8Num3z2"/>
    <w:qFormat/>
    <w:rPr>
      <w:rFonts w:ascii="Wingdings" w:hAnsi="Wingdings" w:cs="Wingdings"/>
    </w:rPr>
  </w:style>
  <w:style w:type="character" w:styleId="WW8Num3z1">
    <w:name w:val="WW8Num3z1"/>
    <w:qFormat/>
    <w:rPr>
      <w:rFonts w:ascii="Courier New" w:hAnsi="Courier New" w:cs="Courier New"/>
    </w:rPr>
  </w:style>
  <w:style w:type="character" w:styleId="WW8Num2z2">
    <w:name w:val="WW8Num2z2"/>
    <w:qFormat/>
    <w:rPr>
      <w:rFonts w:ascii="Wingdings" w:hAnsi="Wingdings" w:cs="Wingdings"/>
    </w:rPr>
  </w:style>
  <w:style w:type="character" w:styleId="WW8Num2z1">
    <w:name w:val="WW8Num2z1"/>
    <w:qFormat/>
    <w:rPr>
      <w:rFonts w:ascii="Courier New" w:hAnsi="Courier New" w:cs="Courier New"/>
    </w:rPr>
  </w:style>
  <w:style w:type="character" w:styleId="WW8Num11z8">
    <w:name w:val="WW8Num11z8"/>
    <w:qFormat/>
    <w:rPr/>
  </w:style>
  <w:style w:type="character" w:styleId="WW8Num11z7">
    <w:name w:val="WW8Num11z7"/>
    <w:qFormat/>
    <w:rPr/>
  </w:style>
  <w:style w:type="character" w:styleId="WW8Num11z6">
    <w:name w:val="WW8Num11z6"/>
    <w:qFormat/>
    <w:rPr/>
  </w:style>
  <w:style w:type="character" w:styleId="WW8Num11z5">
    <w:name w:val="WW8Num11z5"/>
    <w:qFormat/>
    <w:rPr/>
  </w:style>
  <w:style w:type="character" w:styleId="WW8Num11z4">
    <w:name w:val="WW8Num11z4"/>
    <w:qFormat/>
    <w:rPr/>
  </w:style>
  <w:style w:type="character" w:styleId="WW8Num11z3">
    <w:name w:val="WW8Num11z3"/>
    <w:qFormat/>
    <w:rPr/>
  </w:style>
  <w:style w:type="character" w:styleId="WW8Num11z2">
    <w:name w:val="WW8Num11z2"/>
    <w:qFormat/>
    <w:rPr/>
  </w:style>
  <w:style w:type="character" w:styleId="WW8Num11z1">
    <w:name w:val="WW8Num11z1"/>
    <w:qFormat/>
    <w:rPr/>
  </w:style>
  <w:style w:type="character" w:styleId="WW8Num11z0">
    <w:name w:val="WW8Num11z0"/>
    <w:qFormat/>
    <w:rPr>
      <w:sz w:val="24"/>
      <w:szCs w:val="24"/>
    </w:rPr>
  </w:style>
  <w:style w:type="character" w:styleId="WW8Num10z8">
    <w:name w:val="WW8Num10z8"/>
    <w:qFormat/>
    <w:rPr/>
  </w:style>
  <w:style w:type="character" w:styleId="WW8Num10z7">
    <w:name w:val="WW8Num10z7"/>
    <w:qFormat/>
    <w:rPr/>
  </w:style>
  <w:style w:type="character" w:styleId="WW8Num10z6">
    <w:name w:val="WW8Num10z6"/>
    <w:qFormat/>
    <w:rPr/>
  </w:style>
  <w:style w:type="character" w:styleId="WW8Num10z5">
    <w:name w:val="WW8Num10z5"/>
    <w:qFormat/>
    <w:rPr/>
  </w:style>
  <w:style w:type="character" w:styleId="WW8Num10z4">
    <w:name w:val="WW8Num10z4"/>
    <w:qFormat/>
    <w:rPr/>
  </w:style>
  <w:style w:type="character" w:styleId="WW8Num10z3">
    <w:name w:val="WW8Num10z3"/>
    <w:qFormat/>
    <w:rPr/>
  </w:style>
  <w:style w:type="character" w:styleId="WW8Num10z2">
    <w:name w:val="WW8Num10z2"/>
    <w:qFormat/>
    <w:rPr/>
  </w:style>
  <w:style w:type="character" w:styleId="WW8Num10z1">
    <w:name w:val="WW8Num10z1"/>
    <w:qFormat/>
    <w:rPr/>
  </w:style>
  <w:style w:type="character" w:styleId="WW8Num1z8">
    <w:name w:val="WW8Num1z8"/>
    <w:qFormat/>
    <w:rPr/>
  </w:style>
  <w:style w:type="character" w:styleId="WW8Num1z7">
    <w:name w:val="WW8Num1z7"/>
    <w:qFormat/>
    <w:rPr/>
  </w:style>
  <w:style w:type="character" w:styleId="WW8Num1z6">
    <w:name w:val="WW8Num1z6"/>
    <w:qFormat/>
    <w:rPr/>
  </w:style>
  <w:style w:type="character" w:styleId="WW8Num1z5">
    <w:name w:val="WW8Num1z5"/>
    <w:qFormat/>
    <w:rPr/>
  </w:style>
  <w:style w:type="character" w:styleId="WW8Num1z4">
    <w:name w:val="WW8Num1z4"/>
    <w:qFormat/>
    <w:rPr/>
  </w:style>
  <w:style w:type="character" w:styleId="WW8Num1z3">
    <w:name w:val="WW8Num1z3"/>
    <w:qFormat/>
    <w:rPr/>
  </w:style>
  <w:style w:type="character" w:styleId="WW8Num1z2">
    <w:name w:val="WW8Num1z2"/>
    <w:qFormat/>
    <w:rPr/>
  </w:style>
  <w:style w:type="character" w:styleId="WW8Num1z1">
    <w:name w:val="WW8Num1z1"/>
    <w:qFormat/>
    <w:rPr/>
  </w:style>
  <w:style w:type="character" w:styleId="WW8Num10z0">
    <w:name w:val="WW8Num10z0"/>
    <w:qFormat/>
    <w:rPr>
      <w:sz w:val="24"/>
      <w:szCs w:val="24"/>
      <w:shd w:fill="C0C0C0" w:val="clear"/>
    </w:rPr>
  </w:style>
  <w:style w:type="character" w:styleId="WW8Num9z0">
    <w:name w:val="WW8Num9z0"/>
    <w:qFormat/>
    <w:rPr>
      <w:rFonts w:ascii="Symbol" w:hAnsi="Symbol" w:cs="Symbol"/>
    </w:rPr>
  </w:style>
  <w:style w:type="character" w:styleId="WW8Num8z0">
    <w:name w:val="WW8Num8z0"/>
    <w:qFormat/>
    <w:rPr>
      <w:rFonts w:ascii="Symbol" w:hAnsi="Symbol" w:cs="Symbol"/>
    </w:rPr>
  </w:style>
  <w:style w:type="character" w:styleId="WW8Num7z0">
    <w:name w:val="WW8Num7z0"/>
    <w:qFormat/>
    <w:rPr>
      <w:rFonts w:ascii="Symbol" w:hAnsi="Symbol" w:cs="Symbol"/>
    </w:rPr>
  </w:style>
  <w:style w:type="character" w:styleId="WW8Num6z0">
    <w:name w:val="WW8Num6z0"/>
    <w:qFormat/>
    <w:rPr>
      <w:rFonts w:ascii="Symbol" w:hAnsi="Symbol" w:cs="Symbol"/>
    </w:rPr>
  </w:style>
  <w:style w:type="character" w:styleId="WW8Num5z2">
    <w:name w:val="WW8Num5z2"/>
    <w:qFormat/>
    <w:rPr/>
  </w:style>
  <w:style w:type="character" w:styleId="WW8Num5z1">
    <w:name w:val="WW8Num5z1"/>
    <w:qFormat/>
    <w:rPr>
      <w:b w:val="false"/>
      <w:bCs/>
      <w:i w:val="false"/>
    </w:rPr>
  </w:style>
  <w:style w:type="character" w:styleId="WW8Num5z0">
    <w:name w:val="WW8Num5z0"/>
    <w:qFormat/>
    <w:rPr>
      <w:b/>
    </w:rPr>
  </w:style>
  <w:style w:type="character" w:styleId="WW8Num4z2">
    <w:name w:val="WW8Num4z2"/>
    <w:qFormat/>
    <w:rPr>
      <w:bCs/>
      <w:sz w:val="24"/>
      <w:shd w:fill="C0C0C0" w:val="clear"/>
      <w:lang w:val="en-US"/>
    </w:rPr>
  </w:style>
  <w:style w:type="character" w:styleId="WW8Num4z1">
    <w:name w:val="WW8Num4z1"/>
    <w:qFormat/>
    <w:rPr>
      <w:bCs/>
      <w:i w:val="false"/>
      <w:sz w:val="24"/>
      <w:shd w:fill="C0C0C0" w:val="clear"/>
    </w:rPr>
  </w:style>
  <w:style w:type="character" w:styleId="WW8Num4z0">
    <w:name w:val="WW8Num4z0"/>
    <w:qFormat/>
    <w:rPr>
      <w:b/>
      <w:bCs/>
    </w:rPr>
  </w:style>
  <w:style w:type="character" w:styleId="WW8Num3z0">
    <w:name w:val="WW8Num3z0"/>
    <w:qFormat/>
    <w:rPr>
      <w:b/>
      <w:bCs/>
      <w:shd w:fill="C0C0C0" w:val="clear"/>
    </w:rPr>
  </w:style>
  <w:style w:type="character" w:styleId="WW8Num2z0">
    <w:name w:val="WW8Num2z0"/>
    <w:qFormat/>
    <w:rPr>
      <w:rFonts w:ascii="Symbol" w:hAnsi="Symbol" w:cs="Symbol"/>
    </w:rPr>
  </w:style>
  <w:style w:type="paragraph" w:styleId="Style2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WenQuanYi Zen Hei Sharp" w:cs="Lohit Devanagari"/>
      <w:sz w:val="28"/>
      <w:szCs w:val="28"/>
    </w:rPr>
  </w:style>
  <w:style w:type="paragraph" w:styleId="BodyText">
    <w:name w:val="Body Text"/>
    <w:basedOn w:val="Normal"/>
    <w:rsid w:val="004b090f"/>
    <w:pPr>
      <w:spacing w:before="0" w:after="12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Lohit Devanagari"/>
      <w:lang w:val="zxx" w:eastAsia="zxx" w:bidi="zxx"/>
    </w:rPr>
  </w:style>
  <w:style w:type="paragraph" w:styleId="BodyText3">
    <w:name w:val="Body Text 3"/>
    <w:basedOn w:val="Normal"/>
    <w:link w:val="32"/>
    <w:qFormat/>
    <w:rsid w:val="004b090f"/>
    <w:pPr>
      <w:spacing w:lineRule="auto" w:line="240"/>
      <w:ind w:hanging="0"/>
    </w:pPr>
    <w:rPr>
      <w:color w:val="0000FF"/>
      <w:sz w:val="24"/>
      <w:szCs w:val="24"/>
      <w:lang w:val="x-none" w:eastAsia="en-US"/>
    </w:rPr>
  </w:style>
  <w:style w:type="paragraph" w:styleId="Style26">
    <w:name w:val="Колонтитул"/>
    <w:basedOn w:val="Normal"/>
    <w:qFormat/>
    <w:pPr/>
    <w:rPr/>
  </w:style>
  <w:style w:type="paragraph" w:styleId="Header">
    <w:name w:val="Header"/>
    <w:basedOn w:val="Normal"/>
    <w:link w:val="Style17"/>
    <w:rsid w:val="004b090f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110" w:customStyle="1">
    <w:name w:val="Style1"/>
    <w:basedOn w:val="Normal"/>
    <w:autoRedefine/>
    <w:qFormat/>
    <w:rsid w:val="004b090f"/>
    <w:pPr>
      <w:spacing w:lineRule="auto" w:line="240" w:before="240" w:after="0"/>
      <w:ind w:hanging="0"/>
      <w:jc w:val="left"/>
    </w:pPr>
    <w:rPr>
      <w:b/>
      <w:sz w:val="22"/>
      <w:szCs w:val="20"/>
    </w:rPr>
  </w:style>
  <w:style w:type="paragraph" w:styleId="BodyText2">
    <w:name w:val="Body Text 2"/>
    <w:basedOn w:val="Normal"/>
    <w:qFormat/>
    <w:rsid w:val="004b090f"/>
    <w:pPr>
      <w:widowControl w:val="false"/>
      <w:spacing w:lineRule="auto" w:line="480" w:before="0" w:after="120"/>
      <w:ind w:hanging="0"/>
      <w:jc w:val="left"/>
    </w:pPr>
    <w:rPr>
      <w:sz w:val="20"/>
      <w:szCs w:val="20"/>
    </w:rPr>
  </w:style>
  <w:style w:type="paragraph" w:styleId="Style27" w:customStyle="1">
    <w:name w:val="Знак"/>
    <w:basedOn w:val="Normal"/>
    <w:qFormat/>
    <w:rsid w:val="000873ec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FootnoteText">
    <w:name w:val="Footnote Text"/>
    <w:basedOn w:val="Normal"/>
    <w:link w:val="Style13"/>
    <w:uiPriority w:val="99"/>
    <w:rsid w:val="00d45657"/>
    <w:pPr>
      <w:spacing w:lineRule="auto" w:line="240"/>
      <w:ind w:hanging="0"/>
      <w:jc w:val="left"/>
    </w:pPr>
    <w:rPr>
      <w:sz w:val="20"/>
      <w:szCs w:val="20"/>
    </w:rPr>
  </w:style>
  <w:style w:type="paragraph" w:styleId="Style28" w:customStyle="1">
    <w:name w:val="Знак Знак Знак Знак Знак Знак Знак"/>
    <w:basedOn w:val="Normal"/>
    <w:qFormat/>
    <w:rsid w:val="00773634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21" w:customStyle="1">
    <w:name w:val="Знак2"/>
    <w:basedOn w:val="Normal"/>
    <w:qFormat/>
    <w:rsid w:val="00f65662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Style29" w:customStyle="1">
    <w:name w:val="Знак Знак Знак Знак Знак Знак Знак Знак Знак"/>
    <w:basedOn w:val="Normal"/>
    <w:qFormat/>
    <w:rsid w:val="007c5ecd"/>
    <w:pPr>
      <w:spacing w:lineRule="exact" w:line="240" w:before="0" w:after="160"/>
      <w:ind w:hanging="0"/>
    </w:pPr>
    <w:rPr>
      <w:rFonts w:ascii="Verdana" w:hAnsi="Verdana"/>
      <w:sz w:val="22"/>
      <w:szCs w:val="20"/>
      <w:lang w:val="en-US" w:eastAsia="en-US"/>
    </w:rPr>
  </w:style>
  <w:style w:type="paragraph" w:styleId="Style30" w:customStyle="1">
    <w:name w:val="Пункт договора"/>
    <w:basedOn w:val="Normal"/>
    <w:qFormat/>
    <w:rsid w:val="004d4328"/>
    <w:pPr>
      <w:widowControl w:val="false"/>
      <w:spacing w:lineRule="auto" w:line="240"/>
      <w:ind w:hanging="0"/>
    </w:pPr>
    <w:rPr>
      <w:rFonts w:ascii="Arial" w:hAnsi="Arial"/>
      <w:sz w:val="20"/>
      <w:szCs w:val="20"/>
    </w:rPr>
  </w:style>
  <w:style w:type="paragraph" w:styleId="Style31" w:customStyle="1">
    <w:name w:val="Подпункт договора"/>
    <w:basedOn w:val="Normal"/>
    <w:qFormat/>
    <w:rsid w:val="00617a62"/>
    <w:pPr>
      <w:tabs>
        <w:tab w:val="clear" w:pos="708"/>
        <w:tab w:val="left" w:pos="360" w:leader="none"/>
      </w:tabs>
      <w:spacing w:lineRule="auto" w:line="240"/>
      <w:ind w:hanging="0"/>
    </w:pPr>
    <w:rPr>
      <w:rFonts w:ascii="Arial" w:hAnsi="Arial"/>
      <w:sz w:val="20"/>
      <w:szCs w:val="20"/>
    </w:rPr>
  </w:style>
  <w:style w:type="paragraph" w:styleId="BodyTextIndent3">
    <w:name w:val="Body Text Indent 3"/>
    <w:basedOn w:val="Normal"/>
    <w:qFormat/>
    <w:rsid w:val="006329b9"/>
    <w:pPr>
      <w:spacing w:before="0" w:after="120"/>
      <w:ind w:left="283" w:firstLine="567"/>
    </w:pPr>
    <w:rPr>
      <w:sz w:val="16"/>
      <w:szCs w:val="16"/>
    </w:rPr>
  </w:style>
  <w:style w:type="paragraph" w:styleId="ListParagraph">
    <w:name w:val="List Paragraph"/>
    <w:basedOn w:val="Normal"/>
    <w:link w:val="Style16"/>
    <w:uiPriority w:val="34"/>
    <w:qFormat/>
    <w:rsid w:val="005f3f9e"/>
    <w:pPr>
      <w:spacing w:lineRule="auto" w:line="240" w:before="0" w:after="0"/>
      <w:ind w:left="720" w:hanging="0"/>
      <w:contextualSpacing/>
      <w:jc w:val="left"/>
    </w:pPr>
    <w:rPr>
      <w:sz w:val="24"/>
      <w:szCs w:val="24"/>
    </w:rPr>
  </w:style>
  <w:style w:type="paragraph" w:styleId="12" w:customStyle="1">
    <w:name w:val="1. Статья"/>
    <w:basedOn w:val="Heading3"/>
    <w:link w:val="1"/>
    <w:qFormat/>
    <w:rsid w:val="005f4a86"/>
    <w:pPr>
      <w:keepNext w:val="false"/>
      <w:widowControl w:val="false"/>
      <w:tabs>
        <w:tab w:val="clear" w:pos="708"/>
        <w:tab w:val="left" w:pos="2340" w:leader="none"/>
      </w:tabs>
      <w:suppressAutoHyphens w:val="false"/>
      <w:overflowPunct w:val="false"/>
      <w:spacing w:before="0" w:after="0"/>
      <w:ind w:right="1462" w:hanging="0"/>
      <w:jc w:val="center"/>
      <w:textAlignment w:val="baseline"/>
    </w:pPr>
    <w:rPr>
      <w:b w:val="false"/>
      <w:sz w:val="24"/>
      <w:szCs w:val="24"/>
    </w:rPr>
  </w:style>
  <w:style w:type="paragraph" w:styleId="22" w:customStyle="1">
    <w:name w:val="2. Пункт"/>
    <w:basedOn w:val="Heading3"/>
    <w:qFormat/>
    <w:rsid w:val="005f4a86"/>
    <w:pPr>
      <w:keepNext w:val="false"/>
      <w:widowControl w:val="false"/>
      <w:suppressAutoHyphens w:val="false"/>
      <w:overflowPunct w:val="false"/>
      <w:spacing w:before="0" w:after="0"/>
      <w:jc w:val="both"/>
      <w:textAlignment w:val="baseline"/>
    </w:pPr>
    <w:rPr>
      <w:b w:val="false"/>
      <w:sz w:val="24"/>
      <w:szCs w:val="24"/>
    </w:rPr>
  </w:style>
  <w:style w:type="paragraph" w:styleId="33" w:customStyle="1">
    <w:name w:val="3. Подпункт"/>
    <w:basedOn w:val="Heading3"/>
    <w:link w:val="31"/>
    <w:qFormat/>
    <w:rsid w:val="005f4a86"/>
    <w:pPr>
      <w:keepNext w:val="false"/>
      <w:widowControl w:val="false"/>
      <w:tabs>
        <w:tab w:val="clear" w:pos="708"/>
        <w:tab w:val="left" w:pos="1620" w:leader="none"/>
      </w:tabs>
      <w:suppressAutoHyphens w:val="false"/>
      <w:overflowPunct w:val="false"/>
      <w:spacing w:before="0" w:after="0"/>
      <w:jc w:val="both"/>
      <w:textAlignment w:val="baseline"/>
    </w:pPr>
    <w:rPr>
      <w:bCs/>
      <w:sz w:val="24"/>
      <w:szCs w:val="24"/>
    </w:rPr>
  </w:style>
  <w:style w:type="paragraph" w:styleId="ConsNormal" w:customStyle="1">
    <w:name w:val="ConsNormal"/>
    <w:qFormat/>
    <w:rsid w:val="008a113a"/>
    <w:pPr>
      <w:widowControl/>
      <w:suppressAutoHyphens w:val="true"/>
      <w:bidi w:val="0"/>
      <w:spacing w:before="0" w:after="0"/>
      <w:ind w:right="19772" w:firstLine="720"/>
      <w:jc w:val="left"/>
    </w:pPr>
    <w:rPr>
      <w:rFonts w:ascii="Arial" w:hAnsi="Arial" w:eastAsia="Times New Roman" w:cs="Times New Roman"/>
      <w:color w:val="00000A"/>
      <w:kern w:val="0"/>
      <w:sz w:val="32"/>
      <w:szCs w:val="20"/>
      <w:lang w:val="ru-RU" w:eastAsia="en-US" w:bidi="ar-SA"/>
    </w:rPr>
  </w:style>
  <w:style w:type="paragraph" w:styleId="BalloonText">
    <w:name w:val="Balloon Text"/>
    <w:basedOn w:val="Normal"/>
    <w:link w:val="Style7"/>
    <w:qFormat/>
    <w:rsid w:val="00dc2b59"/>
    <w:pPr>
      <w:spacing w:lineRule="auto" w:line="240"/>
    </w:pPr>
    <w:rPr>
      <w:rFonts w:ascii="Tahoma" w:hAnsi="Tahoma"/>
      <w:sz w:val="16"/>
      <w:szCs w:val="16"/>
      <w:lang w:val="x-none" w:eastAsia="x-none"/>
    </w:rPr>
  </w:style>
  <w:style w:type="paragraph" w:styleId="41" w:customStyle="1">
    <w:name w:val="4. Отчерк"/>
    <w:basedOn w:val="Normal"/>
    <w:link w:val="4"/>
    <w:qFormat/>
    <w:rsid w:val="00f50d64"/>
    <w:pPr>
      <w:widowControl w:val="false"/>
      <w:spacing w:lineRule="auto" w:line="240"/>
    </w:pPr>
    <w:rPr>
      <w:sz w:val="24"/>
      <w:szCs w:val="24"/>
      <w:lang w:val="x-none" w:eastAsia="x-none"/>
    </w:rPr>
  </w:style>
  <w:style w:type="paragraph" w:styleId="Annotationtext">
    <w:name w:val="annotation text"/>
    <w:basedOn w:val="Normal"/>
    <w:link w:val="Style8"/>
    <w:qFormat/>
    <w:rsid w:val="00f50d64"/>
    <w:pPr>
      <w:spacing w:lineRule="auto" w:line="240"/>
    </w:pPr>
    <w:rPr>
      <w:sz w:val="20"/>
      <w:szCs w:val="20"/>
      <w:lang w:val="x-none" w:eastAsia="x-none"/>
    </w:rPr>
  </w:style>
  <w:style w:type="paragraph" w:styleId="Annotationsubject">
    <w:name w:val="annotation subject"/>
    <w:basedOn w:val="Annotationtext"/>
    <w:link w:val="Style9"/>
    <w:qFormat/>
    <w:rsid w:val="00f50d64"/>
    <w:pPr/>
    <w:rPr>
      <w:b/>
      <w:bCs/>
    </w:rPr>
  </w:style>
  <w:style w:type="paragraph" w:styleId="Footer">
    <w:name w:val="Footer"/>
    <w:basedOn w:val="Normal"/>
    <w:link w:val="Style10"/>
    <w:uiPriority w:val="99"/>
    <w:rsid w:val="0043217c"/>
    <w:pPr>
      <w:tabs>
        <w:tab w:val="clear" w:pos="708"/>
        <w:tab w:val="center" w:pos="4677" w:leader="none"/>
        <w:tab w:val="right" w:pos="9355" w:leader="none"/>
      </w:tabs>
      <w:spacing w:lineRule="auto" w:line="240"/>
    </w:pPr>
    <w:rPr>
      <w:lang w:val="x-none" w:eastAsia="x-none"/>
    </w:rPr>
  </w:style>
  <w:style w:type="paragraph" w:styleId="Revision">
    <w:name w:val="Revision"/>
    <w:uiPriority w:val="99"/>
    <w:semiHidden/>
    <w:qFormat/>
    <w:rsid w:val="003003ef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00000A"/>
      <w:kern w:val="0"/>
      <w:sz w:val="28"/>
      <w:szCs w:val="28"/>
      <w:lang w:val="ru-RU" w:eastAsia="ru-RU" w:bidi="ar-SA"/>
    </w:rPr>
  </w:style>
  <w:style w:type="paragraph" w:styleId="Title" w:customStyle="1">
    <w:name w:val="Title"/>
    <w:basedOn w:val="Normal"/>
    <w:link w:val="Style11"/>
    <w:qFormat/>
    <w:rsid w:val="00ae674d"/>
    <w:pPr>
      <w:widowControl w:val="false"/>
      <w:overflowPunct w:val="false"/>
      <w:spacing w:lineRule="auto" w:line="240" w:before="0" w:after="120"/>
      <w:ind w:hanging="0"/>
      <w:jc w:val="center"/>
      <w:textAlignment w:val="baseline"/>
    </w:pPr>
    <w:rPr>
      <w:b/>
      <w:bCs/>
      <w:sz w:val="32"/>
      <w:szCs w:val="20"/>
    </w:rPr>
  </w:style>
  <w:style w:type="paragraph" w:styleId="BodyTextIndent">
    <w:name w:val="Body Text Indent"/>
    <w:basedOn w:val="Normal"/>
    <w:link w:val="Style12"/>
    <w:rsid w:val="00ae674d"/>
    <w:pPr>
      <w:spacing w:before="0" w:after="120"/>
      <w:ind w:left="283" w:firstLine="567"/>
    </w:pPr>
    <w:rPr>
      <w:lang w:val="x-none" w:eastAsia="x-none"/>
    </w:rPr>
  </w:style>
  <w:style w:type="paragraph" w:styleId="333" w:customStyle="1">
    <w:name w:val="Пункт 3.3.3"/>
    <w:basedOn w:val="Normal"/>
    <w:qFormat/>
    <w:rsid w:val="00ae674d"/>
    <w:pPr>
      <w:keepNext w:val="true"/>
      <w:keepLines/>
      <w:widowControl w:val="false"/>
      <w:tabs>
        <w:tab w:val="clear" w:pos="708"/>
        <w:tab w:val="left" w:pos="920" w:leader="none"/>
      </w:tabs>
      <w:overflowPunct w:val="false"/>
      <w:spacing w:lineRule="auto" w:line="240" w:before="240" w:after="240"/>
      <w:ind w:left="704" w:hanging="504"/>
      <w:jc w:val="left"/>
      <w:textAlignment w:val="baseline"/>
      <w:outlineLvl w:val="1"/>
    </w:pPr>
    <w:rPr>
      <w:sz w:val="24"/>
      <w:szCs w:val="20"/>
    </w:rPr>
  </w:style>
  <w:style w:type="paragraph" w:styleId="Caption1">
    <w:name w:val="caption1"/>
    <w:basedOn w:val="Normal"/>
    <w:next w:val="Normal"/>
    <w:qFormat/>
    <w:rsid w:val="00ae674d"/>
    <w:pPr>
      <w:widowControl w:val="false"/>
      <w:overflowPunct w:val="false"/>
      <w:spacing w:lineRule="auto" w:line="240" w:before="120" w:after="120"/>
      <w:ind w:hanging="0"/>
      <w:textAlignment w:val="baseline"/>
    </w:pPr>
    <w:rPr>
      <w:b/>
      <w:bCs/>
      <w:sz w:val="24"/>
      <w:szCs w:val="24"/>
    </w:rPr>
  </w:style>
  <w:style w:type="paragraph" w:styleId="13" w:customStyle="1">
    <w:name w:val="Знак1"/>
    <w:basedOn w:val="Normal"/>
    <w:qFormat/>
    <w:rsid w:val="00f43f0d"/>
    <w:pPr>
      <w:spacing w:lineRule="exact" w:line="240" w:before="0" w:after="160"/>
      <w:ind w:hanging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-" w:customStyle="1">
    <w:name w:val="Контракт-раздел"/>
    <w:basedOn w:val="Normal"/>
    <w:qFormat/>
    <w:rsid w:val="00f43f0d"/>
    <w:pPr>
      <w:keepNext w:val="true"/>
      <w:keepLines/>
      <w:tabs>
        <w:tab w:val="clear" w:pos="708"/>
        <w:tab w:val="left" w:pos="0" w:leader="none"/>
        <w:tab w:val="left" w:pos="567" w:leader="none"/>
      </w:tabs>
      <w:suppressAutoHyphens w:val="true"/>
      <w:spacing w:lineRule="auto" w:line="240" w:before="360" w:after="120"/>
      <w:jc w:val="center"/>
      <w:textAlignment w:val="baseline"/>
      <w:outlineLvl w:val="1"/>
    </w:pPr>
    <w:rPr>
      <w:b/>
      <w:bCs/>
      <w:caps/>
    </w:rPr>
  </w:style>
  <w:style w:type="paragraph" w:styleId="-1" w:customStyle="1">
    <w:name w:val="Контракт-пункт"/>
    <w:basedOn w:val="Normal"/>
    <w:qFormat/>
    <w:rsid w:val="00f43f0d"/>
    <w:pPr/>
    <w:rPr/>
  </w:style>
  <w:style w:type="paragraph" w:styleId="-2" w:customStyle="1">
    <w:name w:val="Контракт-подпункт"/>
    <w:basedOn w:val="Normal"/>
    <w:qFormat/>
    <w:rsid w:val="00f43f0d"/>
    <w:pPr/>
    <w:rPr/>
  </w:style>
  <w:style w:type="paragraph" w:styleId="-3" w:customStyle="1">
    <w:name w:val="Контракт-подподпункт"/>
    <w:basedOn w:val="Normal"/>
    <w:qFormat/>
    <w:rsid w:val="00f43f0d"/>
    <w:pPr/>
    <w:rPr/>
  </w:style>
  <w:style w:type="paragraph" w:styleId="EndnoteSymbol">
    <w:name w:val="Endnote Symbol"/>
    <w:basedOn w:val="Normal"/>
    <w:link w:val="Style14"/>
    <w:uiPriority w:val="99"/>
    <w:semiHidden/>
    <w:unhideWhenUsed/>
    <w:qFormat/>
    <w:rsid w:val="008c02d8"/>
    <w:pPr/>
    <w:rPr>
      <w:sz w:val="20"/>
      <w:szCs w:val="20"/>
      <w:lang w:val="x-none" w:eastAsia="x-none"/>
    </w:rPr>
  </w:style>
  <w:style w:type="paragraph" w:styleId="ConsPlusNonformat" w:customStyle="1">
    <w:name w:val="ConsPlusNonformat"/>
    <w:qFormat/>
    <w:rsid w:val="002e3213"/>
    <w:pPr>
      <w:widowControl w:val="false"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00000A"/>
      <w:kern w:val="0"/>
      <w:sz w:val="20"/>
      <w:szCs w:val="20"/>
      <w:lang w:val="ru-RU" w:eastAsia="ru-RU" w:bidi="ar-SA"/>
    </w:rPr>
  </w:style>
  <w:style w:type="paragraph" w:styleId="IndexHeading">
    <w:name w:val="Index Heading"/>
    <w:basedOn w:val="Style24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71aa"/>
    <w:pPr>
      <w:keepLines/>
      <w:spacing w:lineRule="auto" w:line="276" w:before="480" w:after="0"/>
      <w:ind w:hanging="0"/>
      <w:jc w:val="left"/>
    </w:pPr>
    <w:rPr>
      <w:rFonts w:ascii="Cambria" w:hAnsi="Cambria" w:eastAsia="" w:cs="" w:asciiTheme="majorHAnsi" w:cstheme="majorBidi" w:eastAsiaTheme="majorEastAsia" w:hAnsiTheme="majorHAnsi"/>
      <w:color w:val="365F91"/>
      <w:sz w:val="28"/>
      <w:szCs w:val="28"/>
      <w:lang w:val="ru-RU" w:eastAsia="ru-RU"/>
    </w:rPr>
  </w:style>
  <w:style w:type="paragraph" w:styleId="Style32">
    <w:name w:val="Содержимое врезки"/>
    <w:basedOn w:val="Normal"/>
    <w:qFormat/>
    <w:pPr/>
    <w:rPr/>
  </w:style>
  <w:style w:type="paragraph" w:styleId="Style33">
    <w:name w:val="Содержимое таблицы"/>
    <w:basedOn w:val="Normal"/>
    <w:qFormat/>
    <w:pPr>
      <w:widowControl w:val="false"/>
      <w:suppressLineNumbers/>
    </w:pPr>
    <w:rPr/>
  </w:style>
  <w:style w:type="paragraph" w:styleId="Style34">
    <w:name w:val="Заголовок таблицы"/>
    <w:basedOn w:val="Style33"/>
    <w:qFormat/>
    <w:pPr>
      <w:suppressLineNumbers/>
      <w:jc w:val="center"/>
    </w:pPr>
    <w:rPr>
      <w:b/>
      <w:bCs/>
    </w:rPr>
  </w:style>
  <w:style w:type="paragraph" w:styleId="14">
    <w:name w:val="Знак Знак Знак Знак Знак Знак Знак Знак Знак1"/>
    <w:basedOn w:val="Normal"/>
    <w:qFormat/>
    <w:pPr>
      <w:spacing w:lineRule="exact" w:line="240" w:before="0" w:after="160"/>
      <w:jc w:val="both"/>
    </w:pPr>
    <w:rPr>
      <w:rFonts w:ascii="Verdana" w:hAnsi="Verdana" w:cs="Verdana"/>
      <w:sz w:val="22"/>
      <w:szCs w:val="20"/>
      <w:lang w:val="en-US"/>
    </w:rPr>
  </w:style>
  <w:style w:type="paragraph" w:styleId="34">
    <w:name w:val="Основной текст 3"/>
    <w:basedOn w:val="Normal"/>
    <w:qFormat/>
    <w:pPr>
      <w:jc w:val="both"/>
    </w:pPr>
    <w:rPr>
      <w:color w:val="0000FF"/>
      <w:lang w:val="ru-RU"/>
    </w:rPr>
  </w:style>
  <w:style w:type="paragraph" w:styleId="Style35">
    <w:name w:val="Абзац списка"/>
    <w:basedOn w:val="Normal"/>
    <w:qFormat/>
    <w:pPr>
      <w:ind w:left="708" w:right="0" w:hanging="0"/>
    </w:pPr>
    <w:rPr/>
  </w:style>
  <w:style w:type="paragraph" w:styleId="U">
    <w:name w:val="u"/>
    <w:basedOn w:val="Normal"/>
    <w:qFormat/>
    <w:pPr>
      <w:ind w:left="0" w:right="0" w:firstLine="390"/>
      <w:jc w:val="both"/>
    </w:pPr>
    <w:rPr/>
  </w:style>
  <w:style w:type="paragraph" w:styleId="Style36">
    <w:name w:val="Текст выноски"/>
    <w:basedOn w:val="Normal"/>
    <w:qFormat/>
    <w:pPr/>
    <w:rPr>
      <w:rFonts w:ascii="Tahoma" w:hAnsi="Tahoma" w:cs="Tahoma"/>
      <w:sz w:val="16"/>
      <w:szCs w:val="16"/>
    </w:rPr>
  </w:style>
  <w:style w:type="paragraph" w:styleId="Style37">
    <w:name w:val="Рецензия"/>
    <w:qFormat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zh-CN" w:bidi="ar-SA"/>
    </w:rPr>
  </w:style>
  <w:style w:type="paragraph" w:styleId="Style38">
    <w:name w:val="Тема примечания"/>
    <w:basedOn w:val="Style39"/>
    <w:next w:val="Style39"/>
    <w:qFormat/>
    <w:pPr/>
    <w:rPr>
      <w:b/>
      <w:bCs/>
    </w:rPr>
  </w:style>
  <w:style w:type="paragraph" w:styleId="Style39">
    <w:name w:val="Текст примечания"/>
    <w:basedOn w:val="Normal"/>
    <w:qFormat/>
    <w:pPr/>
    <w:rPr>
      <w:sz w:val="20"/>
      <w:szCs w:val="20"/>
    </w:rPr>
  </w:style>
  <w:style w:type="paragraph" w:styleId="Preformat">
    <w:name w:val="Preformat"/>
    <w:qFormat/>
    <w:pPr>
      <w:widowControl/>
      <w:suppressAutoHyphens w:val="true"/>
      <w:bidi w:val="0"/>
      <w:spacing w:before="0" w:after="0"/>
      <w:jc w:val="left"/>
    </w:pPr>
    <w:rPr>
      <w:rFonts w:ascii="Courier New" w:hAnsi="Courier New" w:eastAsia="Times New Roman" w:cs="Courier New"/>
      <w:color w:val="auto"/>
      <w:kern w:val="0"/>
      <w:sz w:val="20"/>
      <w:szCs w:val="20"/>
      <w:lang w:val="ru-RU" w:eastAsia="zh-CN" w:bidi="ar-SA"/>
    </w:rPr>
  </w:style>
  <w:style w:type="paragraph" w:styleId="Caption111">
    <w:name w:val="Caption1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1">
    <w:name w:val="Caption11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12">
    <w:name w:val="Caption12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Caption2">
    <w:name w:val="Caption2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numbering" w:styleId="NoList" w:default="1">
    <w:name w:val="No List"/>
    <w:uiPriority w:val="99"/>
    <w:semiHidden/>
    <w:unhideWhenUsed/>
    <w:qFormat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  <w:style w:type="numbering" w:styleId="WW8Num5">
    <w:name w:val="WW8Num5"/>
    <w:qFormat/>
  </w:style>
  <w:style w:type="numbering" w:styleId="WW8Num6">
    <w:name w:val="WW8Num6"/>
    <w:qFormat/>
  </w:style>
  <w:style w:type="numbering" w:styleId="WW8Num7">
    <w:name w:val="WW8Num7"/>
    <w:qFormat/>
  </w:style>
  <w:style w:type="numbering" w:styleId="WW8Num8">
    <w:name w:val="WW8Num8"/>
    <w:qFormat/>
  </w:style>
  <w:style w:type="numbering" w:styleId="WW8Num9">
    <w:name w:val="WW8Num9"/>
    <w:qFormat/>
  </w:style>
  <w:style w:type="numbering" w:styleId="WW8Num10">
    <w:name w:val="WW8Num10"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336503"/>
    <w:pPr>
      <w:spacing w:line="360" w:lineRule="auto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notes" Target="footnotes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8403FF-1D2E-46B5-9ED7-A50FEB4EAA7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64C73B1-16B0-4945-BC09-183B639105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871</TotalTime>
  <Application>AlterOffice/3.4.0.9$Linux_X86_64 LibreOffice_project/b8daf9e823b1a5463a2f48435ddc2e8696e7d4fc</Application>
  <AppVersion>15.0000</AppVersion>
  <Pages>4</Pages>
  <Words>1766</Words>
  <Characters>13026</Characters>
  <CharactersWithSpaces>14769</CharactersWithSpaces>
  <Paragraphs>57</Paragraphs>
  <Company>УК ГидроОГК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2022-11-01T07:03:00Z</dcterms:created>
  <dc:creator>UK VoHEC</dc:creator>
  <dc:description/>
  <dc:language>ru-RU</dc:language>
  <cp:lastModifiedBy>evsyukov_ka</cp:lastModifiedBy>
  <cp:lastPrinted>2017-08-25T15:35:00Z</cp:lastPrinted>
  <dcterms:modified xsi:type="dcterms:W3CDTF">2026-07-29T08:52:39Z</dcterms:modified>
  <cp:revision>59</cp:revision>
  <dc:subject/>
  <dc:title>ДОГОВОР № ____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